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6D9EE" w14:textId="77777777" w:rsidR="00B968FA" w:rsidRDefault="00000000">
      <w:pPr>
        <w:pStyle w:val="Heading1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593BB3B5" wp14:editId="626A144C">
            <wp:simplePos x="0" y="0"/>
            <wp:positionH relativeFrom="margin">
              <wp:posOffset>0</wp:posOffset>
            </wp:positionH>
            <wp:positionV relativeFrom="paragraph">
              <wp:posOffset>635</wp:posOffset>
            </wp:positionV>
            <wp:extent cx="2676525" cy="9975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Dawn Lacey – Parish Clerk &amp; RFO</w:t>
      </w:r>
    </w:p>
    <w:p w14:paraId="6B432C57" w14:textId="77777777" w:rsidR="00B968FA" w:rsidRDefault="00000000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0B08FE3E" w14:textId="77777777" w:rsidR="00B968FA" w:rsidRDefault="00000000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730E5514" w14:textId="77777777" w:rsidR="00B968FA" w:rsidRDefault="00000000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Church Road                      </w:t>
      </w:r>
    </w:p>
    <w:p w14:paraId="07E2E830" w14:textId="77777777" w:rsidR="00B968FA" w:rsidRDefault="00000000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caring for Claygate Village                                                  Claygate </w:t>
      </w:r>
    </w:p>
    <w:p w14:paraId="26F24019" w14:textId="77777777" w:rsidR="00B968FA" w:rsidRDefault="00000000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3691BD93" w14:textId="77777777" w:rsidR="00B968FA" w:rsidRDefault="00000000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1022769D" w14:textId="77777777" w:rsidR="00B968FA" w:rsidRDefault="00000000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Email:  clerk@claygateparishcouncil.gov.uk</w:t>
      </w:r>
    </w:p>
    <w:p w14:paraId="152D2015" w14:textId="77777777" w:rsidR="00B968FA" w:rsidRDefault="00000000">
      <w:pPr>
        <w:rPr>
          <w:rFonts w:eastAsia="Times New Roman" w:cs="Times New Roman"/>
          <w:color w:val="00640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</w:p>
    <w:p w14:paraId="7F347E32" w14:textId="77777777" w:rsidR="00B968FA" w:rsidRDefault="00B968FA">
      <w:pPr>
        <w:rPr>
          <w:rFonts w:cs="Times New Roman"/>
          <w:b/>
          <w:sz w:val="28"/>
          <w:szCs w:val="28"/>
        </w:rPr>
      </w:pPr>
    </w:p>
    <w:p w14:paraId="1BDA49B0" w14:textId="08616917" w:rsidR="00B968FA" w:rsidRDefault="00BA471B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FINAL</w:t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</w:r>
      <w:r w:rsidR="00000000">
        <w:rPr>
          <w:rFonts w:cs="Times New Roman"/>
          <w:b/>
          <w:sz w:val="28"/>
          <w:szCs w:val="28"/>
        </w:rPr>
        <w:tab/>
        <w:t>13</w:t>
      </w:r>
      <w:r w:rsidR="00000000">
        <w:rPr>
          <w:rFonts w:cs="Times New Roman"/>
          <w:b/>
          <w:sz w:val="28"/>
          <w:szCs w:val="28"/>
          <w:vertAlign w:val="superscript"/>
        </w:rPr>
        <w:t>TH</w:t>
      </w:r>
      <w:r w:rsidR="00000000">
        <w:rPr>
          <w:rFonts w:cs="Times New Roman"/>
          <w:b/>
          <w:sz w:val="28"/>
          <w:szCs w:val="28"/>
        </w:rPr>
        <w:t xml:space="preserve"> January 2025</w:t>
      </w:r>
    </w:p>
    <w:p w14:paraId="2049B2CA" w14:textId="77777777" w:rsidR="00B968FA" w:rsidRDefault="00B968FA">
      <w:pPr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</w:p>
    <w:p w14:paraId="465CBEA8" w14:textId="77777777" w:rsidR="00B968FA" w:rsidRDefault="00000000">
      <w:pPr>
        <w:jc w:val="center"/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  <w:r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Minutes of the Planning Committee of Claygate Parish Council held on 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Thursday 9</w:t>
      </w:r>
      <w:r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January 2025 at 7.30pm</w:t>
      </w:r>
      <w:r>
        <w:rPr>
          <w:rFonts w:asciiTheme="minorHAnsi" w:hAnsiTheme="minorHAnsi" w:cs="Times New Roman"/>
          <w:b/>
          <w:sz w:val="28"/>
          <w:szCs w:val="28"/>
          <w:u w:val="single"/>
        </w:rPr>
        <w:t xml:space="preserve"> at Treetops Pavilion, Recreation Ground, Church Road, Claygate</w:t>
      </w:r>
    </w:p>
    <w:p w14:paraId="6F0B139C" w14:textId="77777777" w:rsidR="00B968FA" w:rsidRDefault="00B968FA">
      <w:pPr>
        <w:rPr>
          <w:rFonts w:asciiTheme="minorHAnsi" w:hAnsiTheme="minorHAnsi" w:cs="Times New Roman"/>
        </w:rPr>
      </w:pPr>
    </w:p>
    <w:p w14:paraId="16FC4D0C" w14:textId="77777777" w:rsidR="00B968FA" w:rsidRDefault="00B968FA">
      <w:pPr>
        <w:spacing w:after="160" w:line="259" w:lineRule="auto"/>
        <w:rPr>
          <w:rFonts w:asciiTheme="minorHAnsi" w:hAnsiTheme="minorHAnsi"/>
          <w:b/>
          <w:bCs/>
        </w:rPr>
      </w:pPr>
    </w:p>
    <w:p w14:paraId="6824851F" w14:textId="77777777" w:rsidR="00B968FA" w:rsidRDefault="00000000">
      <w:pPr>
        <w:spacing w:after="160" w:line="259" w:lineRule="auto"/>
        <w:ind w:left="1440" w:hanging="144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Present:</w:t>
      </w:r>
      <w:r>
        <w:rPr>
          <w:rFonts w:asciiTheme="minorHAnsi" w:hAnsiTheme="minorHAnsi"/>
          <w:b/>
          <w:bCs/>
        </w:rPr>
        <w:tab/>
        <w:t>Cllr Sheppard (Chair), Cllr Holt, Cllr Collon, Cllr Herbert and Cllr Bray and Cllr Bingham</w:t>
      </w:r>
    </w:p>
    <w:p w14:paraId="5C13E634" w14:textId="77777777" w:rsidR="00B968FA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In attendance:</w:t>
      </w: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Dawn Lacey (Parish Clerk &amp; RFO)</w:t>
      </w:r>
    </w:p>
    <w:p w14:paraId="027340F8" w14:textId="77777777" w:rsidR="00B968FA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Non-Voting Advisor:</w:t>
      </w:r>
      <w:r>
        <w:rPr>
          <w:rFonts w:asciiTheme="minorHAnsi" w:hAnsiTheme="minorHAnsi"/>
        </w:rPr>
        <w:tab/>
        <w:t xml:space="preserve"> John Bamford </w:t>
      </w:r>
    </w:p>
    <w:p w14:paraId="1A902909" w14:textId="77777777" w:rsidR="00B968FA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3 Members of the Public</w:t>
      </w:r>
    </w:p>
    <w:p w14:paraId="278307EE" w14:textId="77777777" w:rsidR="00B968FA" w:rsidRDefault="00000000">
      <w:pPr>
        <w:spacing w:after="160" w:line="259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1. </w:t>
      </w:r>
      <w:r>
        <w:rPr>
          <w:rFonts w:asciiTheme="minorHAnsi" w:hAnsiTheme="minorHAnsi"/>
          <w:b/>
          <w:bCs/>
        </w:rPr>
        <w:tab/>
        <w:t>Apologies for absence.</w:t>
      </w:r>
    </w:p>
    <w:p w14:paraId="68D3EEC7" w14:textId="77777777" w:rsidR="00B968FA" w:rsidRDefault="00000000">
      <w:pPr>
        <w:spacing w:after="160" w:line="259" w:lineRule="auto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Apologies from Cllr Moon </w:t>
      </w:r>
      <w:proofErr w:type="gramStart"/>
      <w:r>
        <w:rPr>
          <w:rFonts w:asciiTheme="minorHAnsi" w:hAnsiTheme="minorHAnsi"/>
        </w:rPr>
        <w:t>and also</w:t>
      </w:r>
      <w:proofErr w:type="gramEnd"/>
      <w:r>
        <w:rPr>
          <w:rFonts w:asciiTheme="minorHAnsi" w:hAnsiTheme="minorHAnsi"/>
        </w:rPr>
        <w:t xml:space="preserve"> Non-Voting Advisors John Burns and Vanessa </w:t>
      </w:r>
      <w:proofErr w:type="spellStart"/>
      <w:r>
        <w:rPr>
          <w:rFonts w:asciiTheme="minorHAnsi" w:hAnsiTheme="minorHAnsi"/>
        </w:rPr>
        <w:t>Relleen</w:t>
      </w:r>
      <w:proofErr w:type="spellEnd"/>
    </w:p>
    <w:p w14:paraId="257C46C6" w14:textId="77777777" w:rsidR="00B968FA" w:rsidRDefault="00000000">
      <w:pPr>
        <w:spacing w:after="160" w:line="259" w:lineRule="auto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Cllr Bingham informed the Clerk that she would be late to the meeting and arrived at 7.45pm</w:t>
      </w:r>
    </w:p>
    <w:p w14:paraId="2BB3E4C9" w14:textId="77777777" w:rsidR="00B968FA" w:rsidRDefault="00000000">
      <w:pPr>
        <w:spacing w:after="160" w:line="259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2. </w:t>
      </w:r>
      <w:r>
        <w:rPr>
          <w:rFonts w:asciiTheme="minorHAnsi" w:hAnsiTheme="minorHAnsi"/>
          <w:b/>
          <w:bCs/>
        </w:rPr>
        <w:tab/>
        <w:t xml:space="preserve">Declarations of Interest in items on the agenda. </w:t>
      </w:r>
    </w:p>
    <w:p w14:paraId="2F5CB81B" w14:textId="77777777" w:rsidR="00B968FA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None</w:t>
      </w:r>
    </w:p>
    <w:p w14:paraId="130FA96C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3. </w:t>
      </w:r>
      <w:r>
        <w:rPr>
          <w:rFonts w:asciiTheme="minorHAnsi" w:hAnsiTheme="minorHAnsi"/>
          <w:b/>
          <w:bCs/>
        </w:rPr>
        <w:tab/>
        <w:t xml:space="preserve">Confirm the minutes of the </w:t>
      </w:r>
      <w:proofErr w:type="gramStart"/>
      <w:r>
        <w:rPr>
          <w:rFonts w:asciiTheme="minorHAnsi" w:hAnsiTheme="minorHAnsi"/>
          <w:b/>
          <w:bCs/>
        </w:rPr>
        <w:t>5</w:t>
      </w:r>
      <w:r>
        <w:rPr>
          <w:rFonts w:asciiTheme="minorHAnsi" w:hAnsiTheme="minorHAnsi"/>
          <w:b/>
          <w:bCs/>
          <w:vertAlign w:val="superscript"/>
        </w:rPr>
        <w:t>th</w:t>
      </w:r>
      <w:proofErr w:type="gramEnd"/>
      <w:r>
        <w:rPr>
          <w:rFonts w:asciiTheme="minorHAnsi" w:hAnsiTheme="minorHAnsi"/>
          <w:b/>
          <w:bCs/>
        </w:rPr>
        <w:t xml:space="preserve"> December 2024 Planning Committee meeting. </w:t>
      </w:r>
    </w:p>
    <w:p w14:paraId="5AE33DE5" w14:textId="77777777" w:rsidR="00B968FA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These were agreed to be correct and signed by Cllr Sheppard</w:t>
      </w:r>
    </w:p>
    <w:p w14:paraId="5ACA53BB" w14:textId="77777777" w:rsidR="00B968FA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Carried unanimously</w:t>
      </w:r>
    </w:p>
    <w:p w14:paraId="1EFB0919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4. </w:t>
      </w:r>
      <w:r>
        <w:rPr>
          <w:rFonts w:asciiTheme="minorHAnsi" w:hAnsiTheme="minorHAnsi"/>
          <w:b/>
          <w:bCs/>
        </w:rPr>
        <w:tab/>
        <w:t>Review actioning of items from previous minutes and agree any further action required.</w:t>
      </w:r>
    </w:p>
    <w:p w14:paraId="1F98C798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>Item 11 – To consider and, if felt appropriate, approve the draft CPC Planning Strategy – This is to be carried forward to our next Planning Meeting.  See further under Item 11.</w:t>
      </w:r>
    </w:p>
    <w:p w14:paraId="432DDEF2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ab/>
        <w:t>ACTION – Cllr Sheppard</w:t>
      </w:r>
    </w:p>
    <w:p w14:paraId="51CEC3C1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>Item 12 – Completed</w:t>
      </w:r>
    </w:p>
    <w:p w14:paraId="043894CA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>Item 13 – Completed</w:t>
      </w:r>
    </w:p>
    <w:p w14:paraId="09B0BC6A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5.</w:t>
      </w:r>
      <w:r>
        <w:rPr>
          <w:rFonts w:asciiTheme="minorHAnsi" w:hAnsiTheme="minorHAnsi"/>
          <w:b/>
          <w:bCs/>
        </w:rPr>
        <w:tab/>
        <w:t>To answer any questions from members of the public</w:t>
      </w:r>
    </w:p>
    <w:p w14:paraId="5C38D65E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There were two questions and the answer to these are attached to the minutes (Appendix 1)</w:t>
      </w:r>
    </w:p>
    <w:p w14:paraId="0B84C645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6. </w:t>
      </w:r>
      <w:r>
        <w:rPr>
          <w:rFonts w:asciiTheme="minorHAnsi" w:hAnsiTheme="minorHAnsi"/>
          <w:b/>
          <w:bCs/>
        </w:rPr>
        <w:tab/>
        <w:t xml:space="preserve">Review planning correspondence, notification of applications and outstanding results and agree any action required. </w:t>
      </w:r>
    </w:p>
    <w:p w14:paraId="7FB6EAAD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None</w:t>
      </w:r>
    </w:p>
    <w:p w14:paraId="2755F618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7. </w:t>
      </w:r>
      <w:r>
        <w:rPr>
          <w:rFonts w:asciiTheme="minorHAnsi" w:hAnsiTheme="minorHAnsi"/>
          <w:b/>
          <w:bCs/>
        </w:rPr>
        <w:tab/>
        <w:t xml:space="preserve">Review Report on Applications Decided, and Appeals Lodged and Decided since last meeting and agree any action required.  </w:t>
      </w:r>
    </w:p>
    <w:p w14:paraId="27CECB51" w14:textId="77777777" w:rsidR="00B968FA" w:rsidRDefault="00000000">
      <w:pPr>
        <w:spacing w:after="160" w:line="259" w:lineRule="auto"/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 xml:space="preserve">Cllr Sheppard to contact NVA Vanessa </w:t>
      </w:r>
      <w:proofErr w:type="spellStart"/>
      <w:r>
        <w:rPr>
          <w:rFonts w:asciiTheme="minorHAnsi" w:hAnsiTheme="minorHAnsi"/>
        </w:rPr>
        <w:t>Relleen</w:t>
      </w:r>
      <w:proofErr w:type="spellEnd"/>
      <w:r>
        <w:rPr>
          <w:rFonts w:asciiTheme="minorHAnsi" w:hAnsiTheme="minorHAnsi"/>
        </w:rPr>
        <w:t xml:space="preserve"> to organise an informal get together.  </w:t>
      </w:r>
    </w:p>
    <w:p w14:paraId="435A98AD" w14:textId="77777777" w:rsidR="00B968FA" w:rsidRDefault="00000000">
      <w:pPr>
        <w:spacing w:after="160" w:line="259" w:lineRule="auto"/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ACTION: Cllr Sheppard</w:t>
      </w:r>
    </w:p>
    <w:p w14:paraId="059FEBCF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8. </w:t>
      </w:r>
      <w:r>
        <w:rPr>
          <w:rFonts w:asciiTheme="minorHAnsi" w:hAnsiTheme="minorHAnsi"/>
          <w:b/>
          <w:bCs/>
        </w:rPr>
        <w:tab/>
        <w:t>Discuss planning applications from Elmbridge Borough Council (EBC) Weekly Planning Lists (https://www.elmbridge.gov.uk/planning) for the following weeks and agree responses required: w/e 8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>, 15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>, 22</w:t>
      </w:r>
      <w:r>
        <w:rPr>
          <w:rFonts w:asciiTheme="minorHAnsi" w:hAnsiTheme="minorHAnsi"/>
          <w:b/>
          <w:bCs/>
          <w:vertAlign w:val="superscript"/>
        </w:rPr>
        <w:t>nd</w:t>
      </w:r>
      <w:r>
        <w:rPr>
          <w:rFonts w:asciiTheme="minorHAnsi" w:hAnsiTheme="minorHAnsi"/>
          <w:b/>
          <w:bCs/>
        </w:rPr>
        <w:t xml:space="preserve"> and 29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 xml:space="preserve"> November </w:t>
      </w:r>
    </w:p>
    <w:p w14:paraId="63261833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Please see attached letters to EBC T Plan (Appendix 2)</w:t>
      </w:r>
    </w:p>
    <w:p w14:paraId="477B389D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9. </w:t>
      </w:r>
      <w:r>
        <w:rPr>
          <w:rFonts w:asciiTheme="minorHAnsi" w:hAnsiTheme="minorHAnsi"/>
          <w:b/>
          <w:bCs/>
        </w:rPr>
        <w:tab/>
        <w:t xml:space="preserve">Receive a report on EBC’s East Area Sub Committee Meeting and agree any action required. </w:t>
      </w:r>
    </w:p>
    <w:p w14:paraId="5D37C1F0" w14:textId="77777777" w:rsidR="00B968FA" w:rsidRDefault="00000000">
      <w:pPr>
        <w:spacing w:after="160" w:line="259" w:lineRule="auto"/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Nothing to report.</w:t>
      </w:r>
      <w:r>
        <w:rPr>
          <w:rFonts w:asciiTheme="minorHAnsi" w:hAnsiTheme="minorHAnsi"/>
          <w:b/>
          <w:bCs/>
        </w:rPr>
        <w:t xml:space="preserve">  </w:t>
      </w:r>
      <w:r>
        <w:rPr>
          <w:rFonts w:asciiTheme="minorHAnsi" w:hAnsiTheme="minorHAnsi"/>
        </w:rPr>
        <w:t>The next meeting will be held on Monday 13</w:t>
      </w:r>
      <w:r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January</w:t>
      </w:r>
    </w:p>
    <w:p w14:paraId="3F180B66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10. </w:t>
      </w:r>
      <w:r>
        <w:rPr>
          <w:rFonts w:asciiTheme="minorHAnsi" w:hAnsiTheme="minorHAnsi"/>
          <w:b/>
          <w:bCs/>
        </w:rPr>
        <w:tab/>
        <w:t xml:space="preserve">Receive a report on EBC’s Planning Committee Meeting and agree any action required. </w:t>
      </w:r>
    </w:p>
    <w:p w14:paraId="187A2186" w14:textId="77777777" w:rsidR="00B968FA" w:rsidRDefault="00000000">
      <w:pPr>
        <w:spacing w:after="160" w:line="259" w:lineRule="auto"/>
        <w:ind w:left="720" w:hanging="720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Nothing to report</w:t>
      </w:r>
      <w:r>
        <w:rPr>
          <w:rFonts w:asciiTheme="minorHAnsi" w:hAnsiTheme="minorHAnsi"/>
          <w:b/>
          <w:bCs/>
        </w:rPr>
        <w:t xml:space="preserve">.  </w:t>
      </w:r>
      <w:r>
        <w:rPr>
          <w:rFonts w:asciiTheme="minorHAnsi" w:hAnsiTheme="minorHAnsi"/>
        </w:rPr>
        <w:t>The next meeting will be held on Tuesday 14</w:t>
      </w:r>
      <w:r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January</w:t>
      </w:r>
    </w:p>
    <w:p w14:paraId="2064C083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11.</w:t>
      </w:r>
      <w:r>
        <w:rPr>
          <w:rFonts w:asciiTheme="minorHAnsi" w:hAnsiTheme="minorHAnsi"/>
          <w:b/>
          <w:bCs/>
        </w:rPr>
        <w:tab/>
        <w:t>To consider NPPF and Elmbridge Local Plan developments and agree any action required.</w:t>
      </w:r>
    </w:p>
    <w:p w14:paraId="543A2938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eastAsia="Trebuchet MS" w:hAnsiTheme="minorHAnsi" w:cs="Trebuchet MS"/>
        </w:rPr>
        <w:t xml:space="preserve">There is currently nothing new to report on this as further guidance is still being waited on regarding green belt.  Councillors will continue to monitor and new developments </w:t>
      </w:r>
    </w:p>
    <w:p w14:paraId="564C3C0F" w14:textId="77777777" w:rsidR="00B968FA" w:rsidRDefault="00000000">
      <w:pPr>
        <w:spacing w:after="160" w:line="259" w:lineRule="auto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ACTION – Planning Councillor’s </w:t>
      </w:r>
    </w:p>
    <w:p w14:paraId="45A8E8CF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12.</w:t>
      </w:r>
      <w:r>
        <w:rPr>
          <w:rFonts w:asciiTheme="minorHAnsi" w:hAnsiTheme="minorHAnsi"/>
        </w:rPr>
        <w:tab/>
      </w:r>
      <w:r>
        <w:rPr>
          <w:rFonts w:asciiTheme="minorHAnsi" w:hAnsiTheme="minorHAnsi"/>
          <w:b/>
          <w:bCs/>
        </w:rPr>
        <w:t xml:space="preserve">Discuss any Communication of Key decisions to residents and agree any action required.  </w:t>
      </w:r>
    </w:p>
    <w:p w14:paraId="7BF83379" w14:textId="77777777" w:rsidR="00B968FA" w:rsidRDefault="00000000">
      <w:pPr>
        <w:spacing w:after="160" w:line="259" w:lineRule="auto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None at the time</w:t>
      </w:r>
    </w:p>
    <w:p w14:paraId="7BDBA6D5" w14:textId="77777777" w:rsidR="00B968FA" w:rsidRDefault="00B968FA">
      <w:pPr>
        <w:spacing w:after="160" w:line="259" w:lineRule="auto"/>
        <w:ind w:left="720"/>
        <w:rPr>
          <w:rFonts w:asciiTheme="minorHAnsi" w:hAnsiTheme="minorHAnsi"/>
        </w:rPr>
      </w:pPr>
    </w:p>
    <w:p w14:paraId="349C3F94" w14:textId="77777777" w:rsidR="00B968FA" w:rsidRDefault="00000000">
      <w:pPr>
        <w:spacing w:after="160" w:line="259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13.</w:t>
      </w:r>
      <w:r>
        <w:rPr>
          <w:rFonts w:asciiTheme="minorHAnsi" w:hAnsiTheme="minorHAnsi"/>
          <w:b/>
          <w:bCs/>
        </w:rPr>
        <w:tab/>
        <w:t>Matters for information purposes only</w:t>
      </w:r>
    </w:p>
    <w:p w14:paraId="693FD087" w14:textId="77777777" w:rsidR="00B968FA" w:rsidRDefault="00000000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None</w:t>
      </w:r>
    </w:p>
    <w:p w14:paraId="502FBAFC" w14:textId="77777777" w:rsidR="00B968FA" w:rsidRDefault="00000000">
      <w:pPr>
        <w:spacing w:after="160" w:line="259" w:lineRule="auto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14. </w:t>
      </w:r>
      <w:r>
        <w:rPr>
          <w:rFonts w:asciiTheme="minorHAnsi" w:hAnsiTheme="minorHAnsi"/>
          <w:b/>
          <w:bCs/>
        </w:rPr>
        <w:tab/>
        <w:t>Date of the next meeting 7.30pm Thursday 6</w:t>
      </w:r>
      <w:r>
        <w:rPr>
          <w:rFonts w:asciiTheme="minorHAnsi" w:hAnsiTheme="minorHAnsi"/>
          <w:b/>
          <w:bCs/>
          <w:vertAlign w:val="superscript"/>
        </w:rPr>
        <w:t>th</w:t>
      </w:r>
      <w:r>
        <w:rPr>
          <w:rFonts w:asciiTheme="minorHAnsi" w:hAnsiTheme="minorHAnsi"/>
          <w:b/>
          <w:bCs/>
        </w:rPr>
        <w:t xml:space="preserve"> February 2025, Claygate Village Hall, Small Hall, Church Road, Claygate. KT10 0JP</w:t>
      </w:r>
    </w:p>
    <w:p w14:paraId="52253D9F" w14:textId="77777777" w:rsidR="00B968FA" w:rsidRDefault="00B968FA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79B9E210" w14:textId="77777777" w:rsidR="00B968FA" w:rsidRDefault="00B968FA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6B226FD4" w14:textId="77777777" w:rsidR="00B968FA" w:rsidRDefault="00000000">
      <w:pPr>
        <w:rPr>
          <w:rFonts w:asciiTheme="minorHAnsi" w:eastAsiaTheme="minorHAnsi" w:hAnsiTheme="minorHAnsi"/>
          <w:sz w:val="22"/>
          <w:szCs w:val="22"/>
        </w:rPr>
      </w:pPr>
      <w:r>
        <w:rPr>
          <w:rFonts w:asciiTheme="minorHAnsi" w:hAnsiTheme="minorHAnsi"/>
        </w:rPr>
        <w:t>MEETING:</w:t>
      </w:r>
      <w:r>
        <w:rPr>
          <w:rFonts w:asciiTheme="minorHAnsi" w:hAnsiTheme="minorHAnsi"/>
        </w:rPr>
        <w:tab/>
        <w:t>Claygate Planning Council</w:t>
      </w:r>
    </w:p>
    <w:p w14:paraId="23290723" w14:textId="77777777" w:rsidR="00B968FA" w:rsidRDefault="00000000">
      <w:pPr>
        <w:ind w:left="1440" w:hanging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VENUE: </w:t>
      </w:r>
      <w:r>
        <w:rPr>
          <w:rFonts w:asciiTheme="minorHAnsi" w:hAnsiTheme="minorHAnsi"/>
        </w:rPr>
        <w:tab/>
        <w:t xml:space="preserve">Treetops Pavilion, Recreation Ground, Church Road, Claygate, Surrey KT10 0JP </w:t>
      </w:r>
    </w:p>
    <w:p w14:paraId="78038B93" w14:textId="77777777" w:rsidR="00B968FA" w:rsidRDefault="000000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Thursday 9</w:t>
      </w:r>
      <w:r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January 2025</w:t>
      </w:r>
    </w:p>
    <w:p w14:paraId="3B0E79A5" w14:textId="77777777" w:rsidR="00B968FA" w:rsidRDefault="0000000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TIME: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7.30pm </w:t>
      </w:r>
    </w:p>
    <w:p w14:paraId="355D7081" w14:textId="77777777" w:rsidR="00B968FA" w:rsidRDefault="00B968FA">
      <w:pPr>
        <w:rPr>
          <w:rFonts w:asciiTheme="minorHAnsi" w:hAnsiTheme="minorHAnsi"/>
        </w:rPr>
      </w:pPr>
    </w:p>
    <w:p w14:paraId="5CB1DC3A" w14:textId="77777777" w:rsidR="00B968FA" w:rsidRDefault="00B968FA">
      <w:pPr>
        <w:rPr>
          <w:rFonts w:asciiTheme="minorHAnsi" w:hAnsiTheme="minorHAnsi"/>
        </w:rPr>
      </w:pPr>
    </w:p>
    <w:p w14:paraId="2E5A9555" w14:textId="77777777" w:rsidR="00B968FA" w:rsidRDefault="00B968FA">
      <w:pPr>
        <w:rPr>
          <w:rFonts w:asciiTheme="minorHAnsi" w:hAnsiTheme="minorHAnsi"/>
        </w:rPr>
      </w:pPr>
    </w:p>
    <w:p w14:paraId="641FA5CF" w14:textId="77777777" w:rsidR="00B968FA" w:rsidRDefault="00B968FA">
      <w:pPr>
        <w:rPr>
          <w:rFonts w:asciiTheme="minorHAnsi" w:hAnsiTheme="minorHAnsi"/>
        </w:rPr>
      </w:pPr>
    </w:p>
    <w:p w14:paraId="2D28DE6D" w14:textId="77777777" w:rsidR="00B968FA" w:rsidRDefault="00B968FA">
      <w:pPr>
        <w:rPr>
          <w:rFonts w:asciiTheme="minorHAnsi" w:hAnsiTheme="minorHAnsi"/>
        </w:rPr>
      </w:pPr>
    </w:p>
    <w:p w14:paraId="13E9C87A" w14:textId="77777777" w:rsidR="00B968FA" w:rsidRDefault="00B968FA">
      <w:pPr>
        <w:rPr>
          <w:rFonts w:asciiTheme="minorHAnsi" w:hAnsiTheme="minorHAnsi"/>
        </w:rPr>
      </w:pPr>
    </w:p>
    <w:p w14:paraId="0ABCB1BC" w14:textId="77777777" w:rsidR="00B968FA" w:rsidRDefault="00B968FA">
      <w:pPr>
        <w:rPr>
          <w:rFonts w:asciiTheme="minorHAnsi" w:hAnsiTheme="minorHAnsi"/>
        </w:rPr>
      </w:pPr>
    </w:p>
    <w:p w14:paraId="03FB42BB" w14:textId="77777777" w:rsidR="00B968FA" w:rsidRDefault="00000000">
      <w:pPr>
        <w:rPr>
          <w:rFonts w:asciiTheme="minorHAnsi" w:hAnsiTheme="minorHAnsi"/>
        </w:rPr>
      </w:pPr>
      <w:r>
        <w:rPr>
          <w:rFonts w:asciiTheme="minorHAnsi" w:hAnsiTheme="minorHAnsi"/>
        </w:rPr>
        <w:t>Signed: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Date:</w:t>
      </w:r>
    </w:p>
    <w:sectPr w:rsidR="00B968FA">
      <w:pgSz w:w="11906" w:h="16838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FA"/>
    <w:rsid w:val="0039617A"/>
    <w:rsid w:val="00AE414F"/>
    <w:rsid w:val="00B354EC"/>
    <w:rsid w:val="00B968FA"/>
    <w:rsid w:val="00BA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D78D8"/>
  <w15:docId w15:val="{BEEBCDD0-0E77-4239-B7E5-977FE22E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Theme="minorEastAsia" w:hAnsi="Times New Roman" w:cs="Arial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customStyle="1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NoSpacing">
    <w:name w:val="No Spacing"/>
    <w:basedOn w:val="Normal"/>
    <w:uiPriority w:val="1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paragraph" w:styleId="IndexHeading">
    <w:name w:val="index heading"/>
    <w:basedOn w:val="Heading"/>
  </w:style>
  <w:style w:type="paragraph" w:styleId="TOCHeading">
    <w:name w:val="TOC Heading"/>
    <w:uiPriority w:val="39"/>
    <w:unhideWhenUsed/>
    <w:qFormat/>
    <w:pPr>
      <w:spacing w:after="160" w:line="259" w:lineRule="auto"/>
    </w:pPr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sz w:val="22"/>
      <w:szCs w:val="22"/>
      <w14:ligatures w14:val="standardContextual"/>
    </w:rPr>
  </w:style>
  <w:style w:type="paragraph" w:customStyle="1" w:styleId="xxmsolistparagraph">
    <w:name w:val="x_xmsolistparagraph"/>
    <w:basedOn w:val="Normal"/>
    <w:qFormat/>
    <w:pPr>
      <w:spacing w:beforeAutospacing="1" w:afterAutospacing="1"/>
    </w:pPr>
    <w:rPr>
      <w:rFonts w:eastAsia="Times New Roman" w:cs="Times New Roman"/>
      <w:lang w:eastAsia="en-GB"/>
    </w:rPr>
  </w:style>
  <w:style w:type="paragraph" w:styleId="NormalWeb">
    <w:name w:val="Normal (Web)"/>
    <w:basedOn w:val="Normal"/>
    <w:uiPriority w:val="99"/>
    <w:semiHidden/>
    <w:unhideWhenUsed/>
    <w:qFormat/>
    <w:rPr>
      <w:rFonts w:cs="Times New Roman"/>
    </w:r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E4F4" w:fill="BFE4F4" w:themeFill="accent1" w:themeFillTint="34"/>
      </w:tcPr>
    </w:tblStylePr>
    <w:tblStylePr w:type="band1Horz">
      <w:rPr>
        <w:sz w:val="22"/>
      </w:rPr>
      <w:tblPr/>
      <w:tcPr>
        <w:shd w:val="clear" w:color="BFE4F4" w:fill="BFE4F4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  <w:tblPr/>
      <w:tcPr>
        <w:shd w:val="clear" w:color="FAE2D6" w:fill="FAE2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  <w:tblPr/>
      <w:tcPr>
        <w:shd w:val="clear" w:color="C0F0C6" w:fill="C0F0C6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  <w:tblPr/>
      <w:tcPr>
        <w:shd w:val="clear" w:color="C9EDFB" w:fill="C9EDF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  <w:tblPr/>
      <w:tcPr>
        <w:shd w:val="clear" w:color="F1CDED" w:fill="F1CDED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  <w:tblPr/>
      <w:tcPr>
        <w:shd w:val="clear" w:color="D8F2CF" w:fill="D8F2CF" w:themeFill="accent6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BFE4F4" w:fill="BFE4F4" w:themeFill="accent1" w:themeFillTint="34"/>
      </w:tcPr>
    </w:tblStylePr>
    <w:tblStylePr w:type="band1Horz">
      <w:rPr>
        <w:sz w:val="22"/>
      </w:rPr>
      <w:tblPr/>
      <w:tcPr>
        <w:shd w:val="clear" w:color="BFE4F4" w:fill="BFE4F4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  <w:tblPr/>
      <w:tcPr>
        <w:shd w:val="clear" w:color="FAE2D6" w:fill="FAE2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  <w:tblPr/>
      <w:tcPr>
        <w:shd w:val="clear" w:color="C0F0C6" w:fill="C0F0C6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  <w:tblPr/>
      <w:tcPr>
        <w:shd w:val="clear" w:color="C9EDFB" w:fill="C9EDF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  <w:tblPr/>
      <w:tcPr>
        <w:shd w:val="clear" w:color="F1CDED" w:fill="F1CDED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  <w:tblPr/>
      <w:tcPr>
        <w:shd w:val="clear" w:color="D8F2CF" w:fill="D8F2CF" w:themeFill="accent6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19729B" w:fill="19729B" w:themeFill="accent1" w:themeFillTint="EA"/>
      </w:tcPr>
    </w:tblStylePr>
    <w:tblStylePr w:type="lastRow">
      <w:rPr>
        <w:b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2E5F5" w:fill="C2E5F5" w:themeFill="accent1" w:themeFillTint="32"/>
      </w:tcPr>
    </w:tblStylePr>
    <w:tblStylePr w:type="band1Horz">
      <w:rPr>
        <w:sz w:val="22"/>
      </w:rPr>
      <w:tblPr/>
      <w:tcPr>
        <w:shd w:val="clear" w:color="C2E5F5" w:fill="C2E5F5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2AA85" w:fill="F2AA8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  <w:tblPr/>
      <w:tcPr>
        <w:shd w:val="clear" w:color="FAE2D6" w:fill="FAE2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196C24" w:fill="196C24" w:themeFill="accent3" w:themeFillTint="FE"/>
      </w:tcPr>
    </w:tblStylePr>
    <w:tblStylePr w:type="lastRow">
      <w:rPr>
        <w:b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  <w:tblPr/>
      <w:tcPr>
        <w:shd w:val="clear" w:color="C0F0C6" w:fill="C0F0C6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5FCAF3" w:fill="5FCAF3" w:themeFill="accent4" w:themeFillTint="9A"/>
      </w:tcPr>
    </w:tblStylePr>
    <w:tblStylePr w:type="lastRow">
      <w:rPr>
        <w:b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  <w:tblPr/>
      <w:tcPr>
        <w:shd w:val="clear" w:color="C9EDFB" w:fill="C9EDF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fill="A02B93" w:themeFill="accent5"/>
      </w:tcPr>
    </w:tblStylePr>
    <w:tblStylePr w:type="lastRow">
      <w:rPr>
        <w:b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  <w:tblPr/>
      <w:tcPr>
        <w:shd w:val="clear" w:color="F1CDED" w:fill="F1CDED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fill="4EA72E" w:themeFill="accent6"/>
      </w:tcPr>
    </w:tblStylePr>
    <w:tblStylePr w:type="lastRow">
      <w:rPr>
        <w:b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  <w:tblPr/>
      <w:tcPr>
        <w:shd w:val="clear" w:color="D8F2CF" w:fill="D8F2CF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97132" w:fill="E97132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97132" w:fill="E97132" w:themeFill="accent2"/>
      </w:tcPr>
    </w:tblStylePr>
    <w:tblStylePr w:type="firstCol">
      <w:rPr>
        <w:b/>
        <w:sz w:val="22"/>
      </w:rPr>
      <w:tblPr/>
      <w:tcPr>
        <w:shd w:val="clear" w:color="E97132" w:fill="E97132" w:themeFill="accent2"/>
      </w:tcPr>
    </w:tblStylePr>
    <w:tblStylePr w:type="lastCol">
      <w:rPr>
        <w:b/>
        <w:sz w:val="22"/>
      </w:rPr>
      <w:tblPr/>
      <w:tcPr>
        <w:shd w:val="clear" w:color="E97132" w:fill="E97132" w:themeFill="accent2"/>
      </w:tcPr>
    </w:tblStylePr>
    <w:tblStylePr w:type="band1Vert">
      <w:tblPr/>
      <w:tcPr>
        <w:shd w:val="clear" w:color="F5BDA0" w:fill="F5BDA0" w:themeFill="accent2" w:themeFillTint="75"/>
      </w:tcPr>
    </w:tblStylePr>
    <w:tblStylePr w:type="band1Horz">
      <w:tblPr/>
      <w:tcPr>
        <w:shd w:val="clear" w:color="F5BDA0" w:fill="F5BD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196B24" w:fill="196B24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196B24" w:fill="196B24" w:themeFill="accent3"/>
      </w:tcPr>
    </w:tblStylePr>
    <w:tblStylePr w:type="firstCol">
      <w:rPr>
        <w:b/>
        <w:sz w:val="22"/>
      </w:rPr>
      <w:tblPr/>
      <w:tcPr>
        <w:shd w:val="clear" w:color="196B24" w:fill="196B24" w:themeFill="accent3"/>
      </w:tcPr>
    </w:tblStylePr>
    <w:tblStylePr w:type="lastCol">
      <w:rPr>
        <w:b/>
        <w:sz w:val="22"/>
      </w:rPr>
      <w:tblPr/>
      <w:tcPr>
        <w:shd w:val="clear" w:color="196B24" w:fill="196B24" w:themeFill="accent3"/>
      </w:tcPr>
    </w:tblStylePr>
    <w:tblStylePr w:type="band1Vert">
      <w:tblPr/>
      <w:tcPr>
        <w:shd w:val="clear" w:color="72DE80" w:fill="72DE80" w:themeFill="accent3" w:themeFillTint="75"/>
      </w:tcPr>
    </w:tblStylePr>
    <w:tblStylePr w:type="band1Horz">
      <w:tblPr/>
      <w:tcPr>
        <w:shd w:val="clear" w:color="72DE80" w:fill="72DE80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02B93" w:fill="A02B93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02B93" w:fill="A02B93" w:themeFill="accent5"/>
      </w:tcPr>
    </w:tblStylePr>
    <w:tblStylePr w:type="firstCol">
      <w:rPr>
        <w:b/>
        <w:sz w:val="22"/>
      </w:rPr>
      <w:tblPr/>
      <w:tcPr>
        <w:shd w:val="clear" w:color="A02B93" w:fill="A02B93" w:themeFill="accent5"/>
      </w:tcPr>
    </w:tblStylePr>
    <w:tblStylePr w:type="lastCol">
      <w:rPr>
        <w:b/>
        <w:sz w:val="22"/>
      </w:rPr>
      <w:tblPr/>
      <w:tcPr>
        <w:shd w:val="clear" w:color="A02B93" w:fill="A02B93" w:themeFill="accent5"/>
      </w:tcPr>
    </w:tblStylePr>
    <w:tblStylePr w:type="band1Vert">
      <w:tblPr/>
      <w:tcPr>
        <w:shd w:val="clear" w:color="E18FD7" w:fill="E18FD7" w:themeFill="accent5" w:themeFillTint="75"/>
      </w:tcPr>
    </w:tblStylePr>
    <w:tblStylePr w:type="band1Horz">
      <w:tblPr/>
      <w:tcPr>
        <w:shd w:val="clear" w:color="E18FD7" w:fill="E18FD7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EA72E" w:fill="4EA72E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EA72E" w:fill="4EA72E" w:themeFill="accent6"/>
      </w:tcPr>
    </w:tblStylePr>
    <w:tblStylePr w:type="firstCol">
      <w:rPr>
        <w:b/>
        <w:sz w:val="22"/>
      </w:rPr>
      <w:tblPr/>
      <w:tcPr>
        <w:shd w:val="clear" w:color="4EA72E" w:fill="4EA72E" w:themeFill="accent6"/>
      </w:tcPr>
    </w:tblStylePr>
    <w:tblStylePr w:type="lastCol">
      <w:rPr>
        <w:b/>
        <w:sz w:val="22"/>
      </w:rPr>
      <w:tblPr/>
      <w:tcPr>
        <w:shd w:val="clear" w:color="4EA72E" w:fill="4EA72E" w:themeFill="accent6"/>
      </w:tcPr>
    </w:tblStylePr>
    <w:tblStylePr w:type="band1Vert">
      <w:tblPr/>
      <w:tcPr>
        <w:shd w:val="clear" w:color="A8E194" w:fill="A8E194" w:themeFill="accent6" w:themeFillTint="75"/>
      </w:tcPr>
    </w:tblStylePr>
    <w:tblStylePr w:type="band1Horz">
      <w:tblPr/>
      <w:tcPr>
        <w:shd w:val="clear" w:color="A8E194" w:fill="A8E194" w:themeFill="accent6" w:themeFillTint="75"/>
      </w:tc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BFE4F4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AE2D6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C0F0C6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C9EDFB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1CDED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D8F2C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BFE4F4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97132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97132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AE2D6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B24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B24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C0F0C6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F9ED5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0F9ED5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C9EDFB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2B93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A02B93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1CDED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EA72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4EA72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D8F2C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tblPr/>
      <w:tcPr>
        <w:shd w:val="clear" w:color="B1DEF2" w:fill="B1DEF2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tblPr/>
      <w:tcPr>
        <w:shd w:val="clear" w:color="F9DBCB" w:fill="F9DB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tblPr/>
      <w:tcPr>
        <w:shd w:val="clear" w:color="B2EDB9" w:fill="B2EDB9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tblPr/>
      <w:tcPr>
        <w:shd w:val="clear" w:color="BCE9FA" w:fill="BCE9FA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tblPr/>
      <w:tcPr>
        <w:shd w:val="clear" w:color="EEC2E9" w:fill="EEC2E9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tblPr/>
      <w:tcPr>
        <w:shd w:val="clear" w:color="CFEFC4" w:fill="CFEFC4" w:themeFill="accent6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1DEF2" w:fill="B1DEF2" w:themeFill="accent1" w:themeFillTint="40"/>
      </w:tcPr>
    </w:tblStylePr>
    <w:tblStylePr w:type="band1Horz">
      <w:rPr>
        <w:sz w:val="22"/>
      </w:rPr>
      <w:tblPr/>
      <w:tcPr>
        <w:shd w:val="clear" w:color="B1DEF2" w:fill="B1DEF2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9DBCB" w:fill="F9DBCB" w:themeFill="accent2" w:themeFillTint="40"/>
      </w:tcPr>
    </w:tblStylePr>
    <w:tblStylePr w:type="band1Horz">
      <w:rPr>
        <w:sz w:val="22"/>
      </w:rPr>
      <w:tblPr/>
      <w:tcPr>
        <w:shd w:val="clear" w:color="F9DBCB" w:fill="F9DB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2EDB9" w:fill="B2EDB9" w:themeFill="accent3" w:themeFillTint="40"/>
      </w:tcPr>
    </w:tblStylePr>
    <w:tblStylePr w:type="band1Horz">
      <w:rPr>
        <w:sz w:val="22"/>
      </w:rPr>
      <w:tblPr/>
      <w:tcPr>
        <w:shd w:val="clear" w:color="B2EDB9" w:fill="B2EDB9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CE9FA" w:fill="BCE9FA" w:themeFill="accent4" w:themeFillTint="40"/>
      </w:tcPr>
    </w:tblStylePr>
    <w:tblStylePr w:type="band1Horz">
      <w:rPr>
        <w:sz w:val="22"/>
      </w:rPr>
      <w:tblPr/>
      <w:tcPr>
        <w:shd w:val="clear" w:color="BCE9FA" w:fill="BCE9FA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EC2E9" w:fill="EEC2E9" w:themeFill="accent5" w:themeFillTint="40"/>
      </w:tcPr>
    </w:tblStylePr>
    <w:tblStylePr w:type="band1Horz">
      <w:rPr>
        <w:sz w:val="22"/>
      </w:rPr>
      <w:tblPr/>
      <w:tcPr>
        <w:shd w:val="clear" w:color="EEC2E9" w:fill="EEC2E9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EFC4" w:fill="CFEFC4" w:themeFill="accent6" w:themeFillTint="40"/>
      </w:tcPr>
    </w:tblStylePr>
    <w:tblStylePr w:type="band1Horz">
      <w:rPr>
        <w:sz w:val="22"/>
      </w:rPr>
      <w:tblPr/>
      <w:tcPr>
        <w:shd w:val="clear" w:color="CFEFC4" w:fill="CFEFC4" w:themeFill="accent6" w:themeFillTint="40"/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b/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b/>
        <w:sz w:val="22"/>
      </w:rPr>
      <w:tblPr/>
      <w:tcPr>
        <w:shd w:val="clear" w:color="48D45B" w:fill="48D45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b/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b/>
        <w:sz w:val="22"/>
      </w:rPr>
      <w:tblPr/>
      <w:tcPr>
        <w:shd w:val="clear" w:color="D76CCB" w:fill="D76CC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b/>
        <w:sz w:val="22"/>
      </w:rPr>
      <w:tblPr/>
      <w:tcPr>
        <w:shd w:val="clear" w:color="8ED873" w:fill="8ED873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1DEF2" w:fill="B1DEF2" w:themeFill="accent1" w:themeFillTint="40"/>
      </w:tcPr>
    </w:tblStylePr>
    <w:tblStylePr w:type="band1Horz">
      <w:rPr>
        <w:sz w:val="22"/>
      </w:rPr>
      <w:tblPr/>
      <w:tcPr>
        <w:shd w:val="clear" w:color="B1DEF2" w:fill="B1DEF2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sz w:val="22"/>
      </w:rPr>
      <w:tblPr/>
      <w:tcPr>
        <w:shd w:val="clear" w:color="E97132" w:fill="E97132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9DBCB" w:fill="F9DBCB" w:themeFill="accent2" w:themeFillTint="40"/>
      </w:tcPr>
    </w:tblStylePr>
    <w:tblStylePr w:type="band1Horz">
      <w:rPr>
        <w:sz w:val="22"/>
      </w:rPr>
      <w:tblPr/>
      <w:tcPr>
        <w:shd w:val="clear" w:color="F9DBCB" w:fill="F9DB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sz w:val="22"/>
      </w:rPr>
      <w:tblPr/>
      <w:tcPr>
        <w:shd w:val="clear" w:color="196B24" w:fill="196B24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2EDB9" w:fill="B2EDB9" w:themeFill="accent3" w:themeFillTint="40"/>
      </w:tcPr>
    </w:tblStylePr>
    <w:tblStylePr w:type="band1Horz">
      <w:rPr>
        <w:sz w:val="22"/>
      </w:rPr>
      <w:tblPr/>
      <w:tcPr>
        <w:shd w:val="clear" w:color="B2EDB9" w:fill="B2EDB9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sz w:val="22"/>
      </w:rPr>
      <w:tblPr/>
      <w:tcPr>
        <w:shd w:val="clear" w:color="0F9ED5" w:fill="0F9ED5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CE9FA" w:fill="BCE9FA" w:themeFill="accent4" w:themeFillTint="40"/>
      </w:tcPr>
    </w:tblStylePr>
    <w:tblStylePr w:type="band1Horz">
      <w:rPr>
        <w:sz w:val="22"/>
      </w:rPr>
      <w:tblPr/>
      <w:tcPr>
        <w:shd w:val="clear" w:color="BCE9FA" w:fill="BCE9FA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sz w:val="22"/>
      </w:rPr>
      <w:tblPr/>
      <w:tcPr>
        <w:shd w:val="clear" w:color="A02B93" w:fill="A02B93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EC2E9" w:fill="EEC2E9" w:themeFill="accent5" w:themeFillTint="40"/>
      </w:tcPr>
    </w:tblStylePr>
    <w:tblStylePr w:type="band1Horz">
      <w:rPr>
        <w:sz w:val="22"/>
      </w:rPr>
      <w:tblPr/>
      <w:tcPr>
        <w:shd w:val="clear" w:color="EEC2E9" w:fill="EEC2E9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sz w:val="22"/>
      </w:rPr>
      <w:tblPr/>
      <w:tcPr>
        <w:shd w:val="clear" w:color="4EA72E" w:fill="4EA72E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EFC4" w:fill="CFEFC4" w:themeFill="accent6" w:themeFillTint="40"/>
      </w:tcPr>
    </w:tblStylePr>
    <w:tblStylePr w:type="band1Horz">
      <w:rPr>
        <w:sz w:val="22"/>
      </w:rPr>
      <w:tblPr/>
      <w:tcPr>
        <w:shd w:val="clear" w:color="CFEFC4" w:fill="CFEFC4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fill="156082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2AA85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fill="F2AA8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48D45B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fill="48D45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5FCAF3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fill="5FCAF3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D76CCB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fill="D76CC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8ED873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fill="8ED873" w:themeFill="accent6" w:themeFillTint="98"/>
      </w:tc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B1DEF2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9DBCB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B2EDB9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BCE9FA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EEC2E9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CFEFC4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B1DEF2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97132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97132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9DBCB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B24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196B24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B2EDB9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F9ED5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0F9ED5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BCE9FA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2B93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A02B93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EEC2E9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EA72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4EA72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CFEFC4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156082" w:fill="156082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156082" w:fill="156082" w:themeFill="accent1"/>
      </w:tcPr>
    </w:tblStylePr>
    <w:tblStylePr w:type="firstCol">
      <w:rPr>
        <w:b/>
        <w:sz w:val="22"/>
      </w:rPr>
      <w:tblPr/>
      <w:tcPr>
        <w:shd w:val="clear" w:color="156082" w:fill="156082" w:themeFill="accent1"/>
      </w:tcPr>
    </w:tblStylePr>
    <w:tblStylePr w:type="lastCol">
      <w:rPr>
        <w:b/>
        <w:sz w:val="22"/>
      </w:rPr>
      <w:tblPr/>
      <w:tcPr>
        <w:shd w:val="clear" w:color="156082" w:fill="156082" w:themeFill="accent1"/>
      </w:tcPr>
    </w:tblStylePr>
    <w:tblStylePr w:type="band1Vert">
      <w:tblPr/>
      <w:tcPr>
        <w:shd w:val="clear" w:color="70C2E8" w:fill="70C2E8" w:themeFill="accent1" w:themeFillTint="75"/>
      </w:tcPr>
    </w:tblStylePr>
    <w:tblStylePr w:type="band1Horz">
      <w:tblPr/>
      <w:tcPr>
        <w:shd w:val="clear" w:color="70C2E8" w:fill="70C2E8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F9ED5" w:fill="0F9ED5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F9ED5" w:fill="0F9ED5" w:themeFill="accent4"/>
      </w:tcPr>
    </w:tblStylePr>
    <w:tblStylePr w:type="firstCol">
      <w:rPr>
        <w:b/>
        <w:sz w:val="22"/>
      </w:rPr>
      <w:tblPr/>
      <w:tcPr>
        <w:shd w:val="clear" w:color="0F9ED5" w:fill="0F9ED5" w:themeFill="accent4"/>
      </w:tcPr>
    </w:tblStylePr>
    <w:tblStylePr w:type="lastCol">
      <w:rPr>
        <w:b/>
        <w:sz w:val="22"/>
      </w:rPr>
      <w:tblPr/>
      <w:tcPr>
        <w:shd w:val="clear" w:color="0F9ED5" w:fill="0F9ED5" w:themeFill="accent4"/>
      </w:tcPr>
    </w:tblStylePr>
    <w:tblStylePr w:type="band1Vert">
      <w:tblPr/>
      <w:tcPr>
        <w:shd w:val="clear" w:color="85D7F6" w:fill="85D7F6" w:themeFill="accent4" w:themeFillTint="75"/>
      </w:tcPr>
    </w:tblStylePr>
    <w:tblStylePr w:type="band1Horz">
      <w:tblPr/>
      <w:tcPr>
        <w:shd w:val="clear" w:color="85D7F6" w:fill="85D7F6" w:themeFill="accent4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19729B" w:fill="19729B" w:themeFill="accent1" w:themeFillTint="EA"/>
      </w:tcPr>
    </w:tblStylePr>
    <w:tblStylePr w:type="lastRow">
      <w:rPr>
        <w:sz w:val="22"/>
      </w:rPr>
      <w:tblPr/>
      <w:tcPr>
        <w:shd w:val="clear" w:color="19729B" w:fill="19729B" w:themeFill="accent1" w:themeFillTint="EA"/>
      </w:tcPr>
    </w:tblStylePr>
    <w:tblStylePr w:type="firstCol">
      <w:rPr>
        <w:sz w:val="22"/>
      </w:rPr>
      <w:tblPr/>
      <w:tcPr>
        <w:shd w:val="clear" w:color="19729B" w:fill="19729B" w:themeFill="accent1" w:themeFillTint="EA"/>
      </w:tcPr>
    </w:tblStylePr>
    <w:tblStylePr w:type="lastCol">
      <w:rPr>
        <w:sz w:val="22"/>
      </w:rPr>
      <w:tblPr/>
      <w:tcPr>
        <w:shd w:val="clear" w:color="19729B" w:fill="19729B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9ED5EF" w:fill="9ED5EF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9ED5EF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sz w:val="22"/>
      </w:rPr>
      <w:tblPr/>
      <w:tcPr>
        <w:shd w:val="clear" w:color="F2AA85" w:fill="F2AA85" w:themeFill="accent2" w:themeFillTint="97"/>
      </w:tcPr>
    </w:tblStylePr>
    <w:tblStylePr w:type="firstCol">
      <w:rPr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sz w:val="22"/>
      </w:rPr>
      <w:tblPr/>
      <w:tcPr>
        <w:shd w:val="clear" w:color="F2AA85" w:fill="F2AA8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196C24" w:fill="196C24" w:themeFill="accent3" w:themeFillTint="FE"/>
      </w:tcPr>
    </w:tblStylePr>
    <w:tblStylePr w:type="lastRow">
      <w:rPr>
        <w:sz w:val="22"/>
      </w:rPr>
      <w:tblPr/>
      <w:tcPr>
        <w:shd w:val="clear" w:color="196C24" w:fill="196C24" w:themeFill="accent3" w:themeFillTint="FE"/>
      </w:tcPr>
    </w:tblStylePr>
    <w:tblStylePr w:type="firstCol">
      <w:rPr>
        <w:sz w:val="22"/>
      </w:rPr>
      <w:tblPr/>
      <w:tcPr>
        <w:shd w:val="clear" w:color="196C24" w:fill="196C24" w:themeFill="accent3" w:themeFillTint="FE"/>
      </w:tcPr>
    </w:tblStylePr>
    <w:tblStylePr w:type="lastCol">
      <w:rPr>
        <w:sz w:val="22"/>
      </w:rPr>
      <w:tblPr/>
      <w:tcPr>
        <w:shd w:val="clear" w:color="196C24" w:fill="196C24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sz w:val="22"/>
      </w:rPr>
      <w:tblPr/>
      <w:tcPr>
        <w:shd w:val="clear" w:color="5FCAF3" w:fill="5FCAF3" w:themeFill="accent4" w:themeFillTint="9A"/>
      </w:tcPr>
    </w:tblStylePr>
    <w:tblStylePr w:type="firstCol">
      <w:rPr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sz w:val="22"/>
      </w:rPr>
      <w:tblPr/>
      <w:tcPr>
        <w:shd w:val="clear" w:color="5FCAF3" w:fill="5FCAF3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02B93" w:fill="A02B93" w:themeFill="accent5"/>
      </w:tcPr>
    </w:tblStylePr>
    <w:tblStylePr w:type="lastRow">
      <w:rPr>
        <w:sz w:val="22"/>
      </w:rPr>
      <w:tblPr/>
      <w:tcPr>
        <w:shd w:val="clear" w:color="A02B93" w:fill="A02B93" w:themeFill="accent5"/>
      </w:tcPr>
    </w:tblStylePr>
    <w:tblStylePr w:type="firstCol">
      <w:rPr>
        <w:sz w:val="22"/>
      </w:rPr>
      <w:tblPr/>
      <w:tcPr>
        <w:shd w:val="clear" w:color="A02B93" w:fill="A02B93" w:themeFill="accent5"/>
      </w:tcPr>
    </w:tblStylePr>
    <w:tblStylePr w:type="lastCol">
      <w:rPr>
        <w:sz w:val="22"/>
      </w:rPr>
      <w:tblPr/>
      <w:tcPr>
        <w:shd w:val="clear" w:color="A02B93" w:fill="A02B93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EA72E" w:fill="4EA72E" w:themeFill="accent6"/>
      </w:tcPr>
    </w:tblStylePr>
    <w:tblStylePr w:type="lastRow">
      <w:rPr>
        <w:sz w:val="22"/>
      </w:rPr>
      <w:tblPr/>
      <w:tcPr>
        <w:shd w:val="clear" w:color="4EA72E" w:fill="4EA72E" w:themeFill="accent6"/>
      </w:tcPr>
    </w:tblStylePr>
    <w:tblStylePr w:type="firstCol">
      <w:rPr>
        <w:sz w:val="22"/>
      </w:rPr>
      <w:tblPr/>
      <w:tcPr>
        <w:shd w:val="clear" w:color="4EA72E" w:fill="4EA72E" w:themeFill="accent6"/>
      </w:tcPr>
    </w:tblStylePr>
    <w:tblStylePr w:type="lastCol">
      <w:rPr>
        <w:sz w:val="22"/>
      </w:rPr>
      <w:tblPr/>
      <w:tcPr>
        <w:shd w:val="clear" w:color="4EA72E" w:fill="4EA72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F2CF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</w:tblPr>
    <w:tblStylePr w:type="firstRow">
      <w:rPr>
        <w:sz w:val="22"/>
      </w:rPr>
      <w:tblPr/>
      <w:tcPr>
        <w:shd w:val="clear" w:color="19729B" w:fill="19729B" w:themeFill="accent1" w:themeFillTint="EA"/>
      </w:tcPr>
    </w:tblStylePr>
    <w:tblStylePr w:type="lastRow">
      <w:rPr>
        <w:sz w:val="22"/>
      </w:rPr>
      <w:tblPr/>
      <w:tcPr>
        <w:shd w:val="clear" w:color="19729B" w:fill="19729B" w:themeFill="accent1" w:themeFillTint="EA"/>
      </w:tcPr>
    </w:tblStylePr>
    <w:tblStylePr w:type="firstCol">
      <w:rPr>
        <w:sz w:val="22"/>
      </w:rPr>
      <w:tblPr/>
      <w:tcPr>
        <w:shd w:val="clear" w:color="19729B" w:fill="19729B" w:themeFill="accent1" w:themeFillTint="EA"/>
      </w:tcPr>
    </w:tblStylePr>
    <w:tblStylePr w:type="lastCol">
      <w:rPr>
        <w:sz w:val="22"/>
      </w:rPr>
      <w:tblPr/>
      <w:tcPr>
        <w:shd w:val="clear" w:color="19729B" w:fill="19729B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9ED5EF" w:fill="9ED5EF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9ED5EF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</w:tblPr>
    <w:tblStylePr w:type="firstRow">
      <w:rPr>
        <w:sz w:val="22"/>
      </w:rPr>
      <w:tblPr/>
      <w:tcPr>
        <w:shd w:val="clear" w:color="F2AA85" w:fill="F2AA85" w:themeFill="accent2" w:themeFillTint="97"/>
      </w:tcPr>
    </w:tblStylePr>
    <w:tblStylePr w:type="lastRow">
      <w:rPr>
        <w:sz w:val="22"/>
      </w:rPr>
      <w:tblPr/>
      <w:tcPr>
        <w:shd w:val="clear" w:color="F2AA85" w:fill="F2AA85" w:themeFill="accent2" w:themeFillTint="97"/>
      </w:tcPr>
    </w:tblStylePr>
    <w:tblStylePr w:type="firstCol">
      <w:rPr>
        <w:sz w:val="22"/>
      </w:rPr>
      <w:tblPr/>
      <w:tcPr>
        <w:shd w:val="clear" w:color="F2AA85" w:fill="F2AA85" w:themeFill="accent2" w:themeFillTint="97"/>
      </w:tcPr>
    </w:tblStylePr>
    <w:tblStylePr w:type="lastCol">
      <w:rPr>
        <w:sz w:val="22"/>
      </w:rPr>
      <w:tblPr/>
      <w:tcPr>
        <w:shd w:val="clear" w:color="F2AA85" w:fill="F2AA8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AE2D6" w:fill="FAE2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AE2D6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</w:tblPr>
    <w:tblStylePr w:type="firstRow">
      <w:rPr>
        <w:sz w:val="22"/>
      </w:rPr>
      <w:tblPr/>
      <w:tcPr>
        <w:shd w:val="clear" w:color="196C24" w:fill="196C24" w:themeFill="accent3" w:themeFillTint="FE"/>
      </w:tcPr>
    </w:tblStylePr>
    <w:tblStylePr w:type="lastRow">
      <w:rPr>
        <w:sz w:val="22"/>
      </w:rPr>
      <w:tblPr/>
      <w:tcPr>
        <w:shd w:val="clear" w:color="196C24" w:fill="196C24" w:themeFill="accent3" w:themeFillTint="FE"/>
      </w:tcPr>
    </w:tblStylePr>
    <w:tblStylePr w:type="firstCol">
      <w:rPr>
        <w:sz w:val="22"/>
      </w:rPr>
      <w:tblPr/>
      <w:tcPr>
        <w:shd w:val="clear" w:color="196C24" w:fill="196C24" w:themeFill="accent3" w:themeFillTint="FE"/>
      </w:tcPr>
    </w:tblStylePr>
    <w:tblStylePr w:type="lastCol">
      <w:rPr>
        <w:sz w:val="22"/>
      </w:rPr>
      <w:tblPr/>
      <w:tcPr>
        <w:shd w:val="clear" w:color="196C24" w:fill="196C24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0F0C6" w:fill="C0F0C6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0F0C6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</w:tblPr>
    <w:tblStylePr w:type="firstRow">
      <w:rPr>
        <w:sz w:val="22"/>
      </w:rPr>
      <w:tblPr/>
      <w:tcPr>
        <w:shd w:val="clear" w:color="5FCAF3" w:fill="5FCAF3" w:themeFill="accent4" w:themeFillTint="9A"/>
      </w:tcPr>
    </w:tblStylePr>
    <w:tblStylePr w:type="lastRow">
      <w:rPr>
        <w:sz w:val="22"/>
      </w:rPr>
      <w:tblPr/>
      <w:tcPr>
        <w:shd w:val="clear" w:color="5FCAF3" w:fill="5FCAF3" w:themeFill="accent4" w:themeFillTint="9A"/>
      </w:tcPr>
    </w:tblStylePr>
    <w:tblStylePr w:type="firstCol">
      <w:rPr>
        <w:sz w:val="22"/>
      </w:rPr>
      <w:tblPr/>
      <w:tcPr>
        <w:shd w:val="clear" w:color="5FCAF3" w:fill="5FCAF3" w:themeFill="accent4" w:themeFillTint="9A"/>
      </w:tcPr>
    </w:tblStylePr>
    <w:tblStylePr w:type="lastCol">
      <w:rPr>
        <w:sz w:val="22"/>
      </w:rPr>
      <w:tblPr/>
      <w:tcPr>
        <w:shd w:val="clear" w:color="5FCAF3" w:fill="5FCAF3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9EDFB" w:fill="C9EDF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9EDFB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sz w:val="22"/>
      </w:rPr>
      <w:tblPr/>
      <w:tcPr>
        <w:shd w:val="clear" w:color="A02B93" w:fill="A02B93" w:themeFill="accent5"/>
      </w:tcPr>
    </w:tblStylePr>
    <w:tblStylePr w:type="lastRow">
      <w:rPr>
        <w:sz w:val="22"/>
      </w:rPr>
      <w:tblPr/>
      <w:tcPr>
        <w:shd w:val="clear" w:color="A02B93" w:fill="A02B93" w:themeFill="accent5"/>
      </w:tcPr>
    </w:tblStylePr>
    <w:tblStylePr w:type="firstCol">
      <w:rPr>
        <w:sz w:val="22"/>
      </w:rPr>
      <w:tblPr/>
      <w:tcPr>
        <w:shd w:val="clear" w:color="A02B93" w:fill="A02B93" w:themeFill="accent5"/>
      </w:tcPr>
    </w:tblStylePr>
    <w:tblStylePr w:type="lastCol">
      <w:rPr>
        <w:sz w:val="22"/>
      </w:rPr>
      <w:tblPr/>
      <w:tcPr>
        <w:shd w:val="clear" w:color="A02B93" w:fill="A02B93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1CDED" w:fill="F1CDED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1CDED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sz w:val="20"/>
      <w:szCs w:val="20"/>
      <w:lang w:eastAsia="en-GB"/>
    </w:r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sz w:val="22"/>
      </w:rPr>
      <w:tblPr/>
      <w:tcPr>
        <w:shd w:val="clear" w:color="4EA72E" w:fill="4EA72E" w:themeFill="accent6"/>
      </w:tcPr>
    </w:tblStylePr>
    <w:tblStylePr w:type="lastRow">
      <w:rPr>
        <w:sz w:val="22"/>
      </w:rPr>
      <w:tblPr/>
      <w:tcPr>
        <w:shd w:val="clear" w:color="4EA72E" w:fill="4EA72E" w:themeFill="accent6"/>
      </w:tcPr>
    </w:tblStylePr>
    <w:tblStylePr w:type="firstCol">
      <w:rPr>
        <w:sz w:val="22"/>
      </w:rPr>
      <w:tblPr/>
      <w:tcPr>
        <w:shd w:val="clear" w:color="4EA72E" w:fill="4EA72E" w:themeFill="accent6"/>
      </w:tcPr>
    </w:tblStylePr>
    <w:tblStylePr w:type="lastCol">
      <w:rPr>
        <w:sz w:val="22"/>
      </w:rPr>
      <w:tblPr/>
      <w:tcPr>
        <w:shd w:val="clear" w:color="4EA72E" w:fill="4EA72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F2CF" w:fill="D8F2CF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F2CF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paragraph" w:styleId="Revision">
    <w:name w:val="Revision"/>
    <w:hidden/>
    <w:uiPriority w:val="99"/>
    <w:semiHidden/>
    <w:rsid w:val="0039617A"/>
    <w:pPr>
      <w:suppressAutoHyphens w:val="0"/>
    </w:pPr>
    <w:rPr>
      <w:rFonts w:ascii="Times New Roman" w:eastAsiaTheme="minorEastAsia" w:hAnsi="Times New Roman" w:cs="Arial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dc:description/>
  <cp:lastModifiedBy>Dawn Lacey</cp:lastModifiedBy>
  <cp:revision>2</cp:revision>
  <cp:lastPrinted>2025-01-14T14:08:00Z</cp:lastPrinted>
  <dcterms:created xsi:type="dcterms:W3CDTF">2025-01-14T14:08:00Z</dcterms:created>
  <dcterms:modified xsi:type="dcterms:W3CDTF">2025-01-14T14:08:00Z</dcterms:modified>
  <dc:language>en-GB</dc:language>
</cp:coreProperties>
</file>