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E7192" w:rsidRPr="000E7192" w:rsidRDefault="000E7192" w:rsidP="000E7192">
      <w:pPr>
        <w:ind w:right="-472" w:hanging="426"/>
        <w:rPr>
          <w:b/>
          <w:bCs/>
        </w:rPr>
      </w:pPr>
      <w:r w:rsidRPr="000E7192">
        <w:rPr>
          <w:b/>
          <w:bCs/>
        </w:rPr>
        <w:t>Consultation on proposed reforms to the National Planning Policy Framework (NPPF),</w:t>
      </w:r>
      <w:r>
        <w:rPr>
          <w:b/>
          <w:bCs/>
        </w:rPr>
        <w:t xml:space="preserve"> </w:t>
      </w:r>
      <w:r w:rsidRPr="000E7192">
        <w:rPr>
          <w:b/>
          <w:bCs/>
        </w:rPr>
        <w:t xml:space="preserve"> 30 July 2024</w:t>
      </w:r>
    </w:p>
    <w:p w:rsidR="000E7192" w:rsidRPr="000E7192" w:rsidRDefault="000E7192" w:rsidP="000E7192">
      <w:pPr>
        <w:ind w:left="1701" w:firstLine="142"/>
        <w:rPr>
          <w:b/>
          <w:bCs/>
        </w:rPr>
      </w:pPr>
      <w:r w:rsidRPr="000E7192">
        <w:rPr>
          <w:b/>
          <w:bCs/>
        </w:rPr>
        <w:t>Extracts on Green Belt.    Closes 24 September 2024</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Chapter 1 – Introduction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 The Government has made clear that sustained economic growth is the only route to improving the prosperity of our country and the living standards of working people. Our approach to delivering this growth will focus on three pillars: stability, investment and reform.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2. Nowhere is decisive reform needed more urgently than in our planning system. The December 2023 changes to the National Planning Policy Framework (NPPF) were disruptive to the sector and detrimental to housing supply. The Chancellor’s speech on 8 July committed to consulting on reforms to the NPPF to take a different, growth- focused approach.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3. Today, we set out specific changes we propose to make immediately to the NPPF following this consultation. These changes – amending the planning framework, and universal, ambitious local plan coverage – are vital to deliver the Government’s commitments to achieve economic growth and build 1.5 million new homes. Specifically, they will: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a. make the standard method for assessing housing needs mandatory, requiring local authorities to plan for the resulting housing need figure, planning for a lower figure only when they can demonstrate hard constraints and that they have exhausted all other options;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b. reverse other changes to the NPPF made in December 2023 which were detrimental to housing supply;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c. implement a new standard method and calculation to ensure local plans are ambitious enough to support the Government’s manifesto commitment of 1.5 million new homes in this Parliament;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d. broaden the existing definition of brownfield land, set a strengthened expectation that applications on brownfield land will be approved and that plans should promote an uplift in density in urban areas;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e. identify grey belt land within the Green Belt, to be brought forward into the planning system through both plan and decision-making to meet development needs;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f. improve the operation of ‘the presumption’ in favour of sustainable development, to ensure it acts an effective failsafe to support housing supply, by clarifying the circumstances in which it applies; and, introducing new safeguards, to make clear that its application cannot justify poor quality development;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g. deliver affordable, well-designed homes, with new “golden rules” for land released in the Green Belt to ensure it delivers in the public interest;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h. make wider changes to ensure that local planning authorities are able to prioritise the types of affordable homes their communities need on all housing development and that the planning system supports a more diverse housebuilding sector;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proofErr w:type="spellStart"/>
      <w:r w:rsidRPr="000E7192">
        <w:rPr>
          <w:rFonts w:asciiTheme="minorHAnsi" w:hAnsiTheme="minorHAnsi" w:cstheme="minorHAnsi"/>
          <w:color w:val="0A0A0A"/>
          <w:sz w:val="22"/>
          <w:szCs w:val="22"/>
        </w:rPr>
        <w:t>i</w:t>
      </w:r>
      <w:proofErr w:type="spellEnd"/>
      <w:r w:rsidRPr="000E7192">
        <w:rPr>
          <w:rFonts w:asciiTheme="minorHAnsi" w:hAnsiTheme="minorHAnsi" w:cstheme="minorHAnsi"/>
          <w:color w:val="0A0A0A"/>
          <w:sz w:val="22"/>
          <w:szCs w:val="22"/>
        </w:rPr>
        <w:t xml:space="preserve">. support economic growth in key sectors, aligned with the Government’s industrial strategy and future local growth plans, including laboratories, gigafactories, datacentres, digital economies and freight and logistics – given their importance to our economic future;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j. deliver community needs to support society and the creation of healthy places; and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k. support clean energy and the environment, including through support for onshore wind and renewables.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lastRenderedPageBreak/>
        <w:t xml:space="preserve">4. The proposed changes are explained in this document and set out in an accompanying draft NPPF. The Government will respond to this consultation and publish NPPF revisions before the end of the year, so that policy changes can take effect as soon as possible.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5. Alongside these specific changes, the document also calls for views on: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a. whether to reform the way that the Nationally Significant Infrastructure Projects (NSIP) regime applies to onshore wind, solar, data centres, laboratories, gigafactories and water projects, as the first step of the Government’s NSIP reform plans;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b. whether the local plan intervention policy criteria should be updated or removed, so the Government can intervene where necessary to ensure housing delivery; and </w:t>
      </w:r>
    </w:p>
    <w:p w:rsidR="000E7192" w:rsidRPr="000E7192" w:rsidRDefault="000E7192" w:rsidP="000E7192">
      <w:pPr>
        <w:pStyle w:val="NormalWeb"/>
        <w:shd w:val="clear" w:color="auto" w:fill="FFFFFF"/>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c. proposals to increase some planning fees, including for householder applications, so that local planning authorities are properly resourced to support a sustained increase in development and improve performance. </w:t>
      </w:r>
    </w:p>
    <w:p w:rsidR="000E7192" w:rsidRDefault="000E7192" w:rsidP="000E7192">
      <w:pPr>
        <w:pStyle w:val="NormalWeb"/>
        <w:shd w:val="clear" w:color="auto" w:fill="FFFFFF"/>
        <w:spacing w:before="0" w:beforeAutospacing="0"/>
        <w:ind w:left="-426" w:right="-330"/>
        <w:jc w:val="both"/>
        <w:rPr>
          <w:rFonts w:asciiTheme="minorHAnsi" w:hAnsiTheme="minorHAnsi" w:cstheme="minorHAnsi"/>
          <w:color w:val="0A0A0A"/>
          <w:sz w:val="22"/>
          <w:szCs w:val="22"/>
        </w:rPr>
      </w:pPr>
      <w:r w:rsidRPr="000E7192">
        <w:rPr>
          <w:rFonts w:asciiTheme="minorHAnsi" w:hAnsiTheme="minorHAnsi" w:cstheme="minorHAnsi"/>
          <w:color w:val="0A0A0A"/>
          <w:sz w:val="22"/>
          <w:szCs w:val="22"/>
        </w:rPr>
        <w:t xml:space="preserve">6. Finally, it sets out how and when we expect every local planning authority to rapidly create a clear, ambitious local plan for high quality housebuilding and economic growth. </w:t>
      </w:r>
    </w:p>
    <w:p w:rsidR="000E7192" w:rsidRPr="000E7192" w:rsidRDefault="000E7192" w:rsidP="000E7192">
      <w:pPr>
        <w:pStyle w:val="NormalWeb"/>
        <w:shd w:val="clear" w:color="auto" w:fill="FFFFFF"/>
        <w:spacing w:before="0" w:beforeAutospacing="0"/>
        <w:ind w:left="-426" w:right="-330"/>
        <w:jc w:val="both"/>
        <w:rPr>
          <w:rFonts w:asciiTheme="minorHAnsi" w:hAnsiTheme="minorHAnsi" w:cstheme="minorHAnsi"/>
          <w:sz w:val="22"/>
          <w:szCs w:val="22"/>
        </w:rPr>
      </w:pP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Pr>
          <w:rFonts w:asciiTheme="minorHAnsi" w:hAnsiTheme="minorHAnsi" w:cstheme="minorHAnsi"/>
          <w:b/>
          <w:bCs/>
          <w:color w:val="0A0A0A"/>
          <w:sz w:val="22"/>
          <w:szCs w:val="22"/>
        </w:rPr>
        <w:t xml:space="preserve">Chapter 5  -  </w:t>
      </w:r>
      <w:r w:rsidRPr="000E7192">
        <w:rPr>
          <w:rFonts w:asciiTheme="minorHAnsi" w:hAnsiTheme="minorHAnsi" w:cstheme="minorHAnsi"/>
          <w:b/>
          <w:bCs/>
          <w:color w:val="0A0A0A"/>
          <w:sz w:val="22"/>
          <w:szCs w:val="22"/>
        </w:rPr>
        <w:t xml:space="preserve">Green Belt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 We have been clear that development must look to brownfield first, prioritising the development of previously used land wherever possible. To support this, we will make the targeted changes set out below, including making clear that the default answer to brownfield development should be “yes”, as the first step on the way to delivering brownfield passports.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2. But brownfield development alone will not be enough to meet our housing need. To deliver the homes and commercial development this country needs, we are proposing the targeted release of grey belt land. This government recognises the important role the Green Belt plays in preventing urban sprawl and remains committed to its continued protection - but we must review the post-war Green Belt policy to make sure it better meets the needs of present and future generations. Without altering the general extent or purpose of the Green Belt, our proposed changes will support local planning authorities facing acute housing and development pressures to meet their needs, while securing environmental improvements, affordable housing and other infrastructure upgrades communities care about.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3. Instead of the haphazard release we see under the status quo, release will be strategic and underpinned by clear safeguards. We propose to make changes to the NPPF to make clear that, where a local planning authority is unable to meet housing, commercial or other needs after fully considering all opportunities to make effective and efficient use of brownfield and wider opportunities, it should undertake a Green Belt review. This review should look to release poor quality grey belt land from the Green Belt through both plan-making and decision-making to meet local needs. This release will be subject to the sustainable development principles that underpin national planning policy, and to clear ‘golden rules’ as set out later in this chapter.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4. The Green Belt serves a specific planning purpose, in terms of preserving openness and preventing sprawl, but is not an environmental designation or a marker of any environmental importance. Much of it is inaccessible to the public and of poor ecological status. We want our proposal to not simply offset the loss of Green Belt land, but to bring about positive improvements for the quality and enjoyment of the environment. We propose a two-stage process for doing this. First, land that is safeguarded by existing environmental designations, for example National Parks, National Landscapes and Sites of Special Scientific Interest, will maintain its current protections. Second, any development on land released from the Green Belt must bring benefits, via not only mandatory Biodiversity Net Gain, but also through new rules that will secure improved access to good quality greenspace.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lastRenderedPageBreak/>
        <w:t xml:space="preserve">Being clear that brownfield development is acceptable in principle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5. We have been clear that brownfield land must be the first port of call. We want to make clear that the principle of development should not be in question on brownfield land, and so we are consulting on an amendment to paragraph 124c out of the current NPPF, reinforcing the expectation that development proposals on previously developed land are viewed positively. This makes clear that the default answer to brownfield development should be yes.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20 </w:t>
      </w:r>
    </w:p>
    <w:p w:rsidR="000E7192" w:rsidRPr="000E7192" w:rsidRDefault="000E7192" w:rsidP="000E7192">
      <w:pPr>
        <w:pStyle w:val="NormalWeb"/>
        <w:spacing w:before="0" w:beforeAutospacing="0" w:after="24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that we should make the proposed change set out in paragraph 124c, as a first step towards brownfield passports?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Making it easier to develop Previously Developed Land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6. The first step when reviewing Green Belt land should be Previously Developed Land (PDL): it makes no sense to provide special protections for sites that have, for example, housed petrol stations or carparks. For that reason, we propose that we relax the restrictions that are currently applied to PDL and limited infilling in the Green Belt in paragraph 154g of the current NPPF, to make clear that development is ‘not inappropriate’ where it would not cause substantial harm to the openness of the Green Belt. The requirements of our golden rules, set out later in this chapter, are intended to apply to release of PDL.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7. We are also interested in whether it would be beneficial to expand the definition of PDL in the NPPF to include hardstanding and glasshouses. We want to understand how expanding this definition might affect the availability of horticultural land, so would welcome views on how to ensure that there remains sufficient incentive for the development and maintenance of glasshouses for horticultural production.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21 </w:t>
      </w:r>
    </w:p>
    <w:p w:rsidR="000E7192" w:rsidRPr="000E7192" w:rsidRDefault="000E7192" w:rsidP="000E7192">
      <w:pPr>
        <w:pStyle w:val="NormalWeb"/>
        <w:spacing w:before="0" w:beforeAutospacing="0" w:after="24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with the proposed change to paragraph 154g of the current NPPF to better support the development of PDL in the Green Belt?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22 </w:t>
      </w:r>
    </w:p>
    <w:p w:rsidR="000E7192" w:rsidRPr="000E7192" w:rsidRDefault="000E7192" w:rsidP="000E7192">
      <w:pPr>
        <w:pStyle w:val="NormalWeb"/>
        <w:spacing w:before="0" w:before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have any views on expanding the definition of PDL, while ensuring that the development and maintenance of glasshouses for horticultural production is maintained?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Defining the grey belt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8. As set out above, we must look to a wider set of low-performing sites where this is necessary. We propose defining grey belt land as Green Belt land which makes a limited contribution to the Green Belt’s purposes, as set out in paragraph 143 of the current NPPF. To maintain existing environmental protections, we propose excluding land of environmental value from the definition, or assets of particular importance, as set out in footnote 7 of the NPPF. We are interested in whether additional exclusions are necessary, such as areas identified in draft or published Local Nature Recovery Strategies, that could become of particular importance for biodiversity.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9. To support a consistent and transparent approach to identifying land, we propose inserting a new definition of grey belt land into the glossary of the NPPF. This will provide criteria for assessing whether land makes a limited contribution to the Green Belt purposes. This definition will read as follows: </w:t>
      </w:r>
    </w:p>
    <w:p w:rsidR="000E7192" w:rsidRPr="000E7192" w:rsidRDefault="000E7192" w:rsidP="000E7192">
      <w:pPr>
        <w:pStyle w:val="NormalWeb"/>
        <w:spacing w:before="0" w:beforeAutospacing="0"/>
        <w:ind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Grey belt: For the purposes of Plan-making and decision-making, grey belt is defined as land in the Green Belt comprising Previously Developed Land and any other parcels and/or areas of Green Belt land that make a limited contribution to the five Green Belt purposes (as defined in para 140 of this Framework) but excluding those areas or assets of particular importance listed in footnote 7 of this Framework (other than land designated as Green Belt).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lastRenderedPageBreak/>
        <w:t xml:space="preserve">10. We are interested in whether further support is needed to assist authorities in judging whether land makes a limited contribution to the Green Belt purposes. We propose incorporating the following into the glossary appended to the NPPF but welcome views on the most effective way of providing this guidance: Land which makes a limited contribution to the Green Belt purposes will: </w:t>
      </w:r>
    </w:p>
    <w:p w:rsidR="000E7192" w:rsidRPr="000E7192" w:rsidRDefault="000E7192" w:rsidP="000E7192">
      <w:pPr>
        <w:pStyle w:val="NormalWeb"/>
        <w:spacing w:before="0" w:beforeAutospacing="0"/>
        <w:ind w:right="-330"/>
        <w:rPr>
          <w:rFonts w:asciiTheme="minorHAnsi" w:hAnsiTheme="minorHAnsi" w:cstheme="minorHAnsi"/>
          <w:sz w:val="22"/>
          <w:szCs w:val="22"/>
        </w:rPr>
      </w:pPr>
      <w:r w:rsidRPr="000E7192">
        <w:rPr>
          <w:rFonts w:asciiTheme="minorHAnsi" w:hAnsiTheme="minorHAnsi" w:cstheme="minorHAnsi"/>
          <w:color w:val="0A0A0A"/>
          <w:sz w:val="22"/>
          <w:szCs w:val="22"/>
        </w:rPr>
        <w:t>a) Not strongly perform against any Green Belt purpose; and</w:t>
      </w:r>
      <w:r w:rsidRPr="000E7192">
        <w:rPr>
          <w:rFonts w:asciiTheme="minorHAnsi" w:hAnsiTheme="minorHAnsi" w:cstheme="minorHAnsi"/>
          <w:color w:val="0A0A0A"/>
          <w:sz w:val="22"/>
          <w:szCs w:val="22"/>
        </w:rPr>
        <w:br/>
        <w:t>b) Have at least one of the following features:</w:t>
      </w:r>
      <w:r w:rsidRPr="000E7192">
        <w:rPr>
          <w:rFonts w:asciiTheme="minorHAnsi" w:hAnsiTheme="minorHAnsi" w:cstheme="minorHAnsi"/>
          <w:color w:val="0A0A0A"/>
          <w:sz w:val="22"/>
          <w:szCs w:val="22"/>
        </w:rPr>
        <w:br/>
      </w:r>
      <w:proofErr w:type="spellStart"/>
      <w:r w:rsidRPr="000E7192">
        <w:rPr>
          <w:rFonts w:asciiTheme="minorHAnsi" w:hAnsiTheme="minorHAnsi" w:cstheme="minorHAnsi"/>
          <w:color w:val="0A0A0A"/>
          <w:sz w:val="22"/>
          <w:szCs w:val="22"/>
        </w:rPr>
        <w:t>i</w:t>
      </w:r>
      <w:proofErr w:type="spellEnd"/>
      <w:r w:rsidRPr="000E7192">
        <w:rPr>
          <w:rFonts w:asciiTheme="minorHAnsi" w:hAnsiTheme="minorHAnsi" w:cstheme="minorHAnsi"/>
          <w:color w:val="0A0A0A"/>
          <w:sz w:val="22"/>
          <w:szCs w:val="22"/>
        </w:rPr>
        <w:t>. Land containing substantial built development or which is fully enclosed by built form ii. Land which makes no or very little contribution to preventing neighbouring towns from merging into one another</w:t>
      </w:r>
      <w:r w:rsidRPr="000E7192">
        <w:rPr>
          <w:rFonts w:asciiTheme="minorHAnsi" w:hAnsiTheme="minorHAnsi" w:cstheme="minorHAnsi"/>
          <w:color w:val="0A0A0A"/>
          <w:sz w:val="22"/>
          <w:szCs w:val="22"/>
        </w:rPr>
        <w:br/>
        <w:t>iii. Land which is dominated by urban land uses, including physical developments</w:t>
      </w:r>
      <w:r w:rsidRPr="000E7192">
        <w:rPr>
          <w:rFonts w:asciiTheme="minorHAnsi" w:hAnsiTheme="minorHAnsi" w:cstheme="minorHAnsi"/>
          <w:color w:val="0A0A0A"/>
          <w:sz w:val="22"/>
          <w:szCs w:val="22"/>
        </w:rPr>
        <w:br/>
        <w:t xml:space="preserve">iv. Land which contributes little to preserving the setting and special character of historic towns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11. We have chosen to avoid prescribing specific and quantifiable measures of terms such as “substantial built development” at this point. However, we are interested in whether respondents believe more specific criteria or further guidance are needed.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12. We want this approach to protect land which makes a strong contribution to any Green Belt purposes, while allowing authorities to consider a range of Green Belt land based on its merits for potential development.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13. We want to ensure that our definition of grey belt land acts to accurately identify land with a high sustainable development potential, while also avoiding providing incentives to allow the degradation of existing Green Belt Land. We believe that defining the grey belt in terms of its contribution to the purposes should help to prevent this, but we are interested in whether additional protections or requirements are necessary.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14. We do not want our proposals to undermine existing protections for best and most versatile agricultural land. Our proposals do not remove the requirement for planning policies and decisions to recognise the benefits of the best and most versatile agricultural land, and, where significant development of agricultural land is demonstrated to be necessary, areas of poorer quality should be preferred.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15. We are clear that sustainability remains an overarching objective and that development in the grey belt should meet the expectations set out in the NPPF, around effective use of land and access to transport.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23 </w:t>
      </w:r>
    </w:p>
    <w:p w:rsidR="000E7192" w:rsidRPr="000E7192" w:rsidRDefault="000E7192" w:rsidP="000E7192">
      <w:pPr>
        <w:pStyle w:val="NormalWeb"/>
        <w:spacing w:before="0" w:beforeAutospacing="0" w:after="36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with our proposed definition of grey belt land? If not, what changes would you recommend?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24 </w:t>
      </w:r>
    </w:p>
    <w:p w:rsidR="000E7192" w:rsidRPr="000E7192" w:rsidRDefault="000E7192" w:rsidP="000E7192">
      <w:pPr>
        <w:pStyle w:val="NormalWeb"/>
        <w:spacing w:before="0" w:beforeAutospacing="0" w:after="36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Are any additional measures needed to ensure that high performing Green Belt land is not degraded to meet grey belt criteria?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25 </w:t>
      </w:r>
    </w:p>
    <w:p w:rsidR="000E7192" w:rsidRPr="000E7192" w:rsidRDefault="000E7192" w:rsidP="000E7192">
      <w:pPr>
        <w:pStyle w:val="NormalWeb"/>
        <w:spacing w:before="0" w:beforeAutospacing="0" w:after="36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that additional guidance to assist in identifying land which makes a limited contribution of Green Belt purposes would be helpful? If so, is this best contained in the NPPF itself or in planning practice guidance?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26 </w:t>
      </w:r>
    </w:p>
    <w:p w:rsidR="000E7192" w:rsidRPr="000E7192" w:rsidRDefault="000E7192" w:rsidP="000E7192">
      <w:pPr>
        <w:pStyle w:val="NormalWeb"/>
        <w:spacing w:before="0" w:beforeAutospacing="0" w:after="36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have any views on whether our proposed guidance sets out appropriate considerations for determining whether land makes a limited contribution to Green Belt purposes?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27 </w:t>
      </w:r>
    </w:p>
    <w:p w:rsidR="000E7192" w:rsidRPr="000E7192" w:rsidRDefault="000E7192" w:rsidP="000E7192">
      <w:pPr>
        <w:pStyle w:val="NormalWeb"/>
        <w:spacing w:before="0" w:before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have any views on the role that Local Nature Recovery Strategies could play in identifying areas of Green Belt which can be enhanced?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Land release through plan-making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Green Belt reviews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16. Under the existing NPPF, there is no requirement for local planning authorities to review Green Belt where they fall short of housing need. Instead, local planning authorities may choose to review and alter Green Belt boundaries where exceptional circumstances are fully justified. We propose correcting that, to allow local planning authorities to undertake a review where an authority cannot meet its identified housing, commercial or other need without altering Green Belt boundaries.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A sequential approach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17. We remain clear that brownfield sites should be prioritised, and our proposed changes to developing PDL in the Green Belt (outlined above) reinforce this commitment. To support release in the right places, we propose a sequential test to guide release. This will ask authorities to give first consideration to PDL within in the Green Belt, before moving on to other grey belt sites, and finally to higher performing Green Belt sites where these can be made sustainable. As set out above, land that is safeguarded by existing environmental designations, for example National Parks, National Landscapes and Sites of Special Scientific Interest, will maintain its protections.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18. The aim of this approach is to ensure that low quality Green Belt is identified first, while not restricting development of specific opportunities which could be made more sustainable (for example, on land around train stations). This is in recognition that not all PDL or ‘Grey Belt’ will be in the most suitable or sustainable location for development. As such, it is right that local planning authorities are empowered to make decisions that best support the development needs and sustainability objectives of their area through the plan-making process. There is clear expectation that local planning authorities should seek to meet their development needs in full. However, we remain clear that the release of land should not be supported where doing so would fundamentally undermine the function of the Green Belt across the area of the plan as a whole. We propose changes to paragraph 147 of the NPPF to achieve this approach.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28 </w:t>
      </w:r>
    </w:p>
    <w:p w:rsidR="000E7192" w:rsidRPr="000E7192" w:rsidRDefault="000E7192" w:rsidP="000E7192">
      <w:pPr>
        <w:pStyle w:val="NormalWeb"/>
        <w:spacing w:before="0" w:before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that our proposals support the release of land in the right places, with previously developed and grey belt land identified first, while allowing local planning authorities to prioritise the most sustainable development locations?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29 </w:t>
      </w:r>
    </w:p>
    <w:p w:rsidR="000E7192" w:rsidRDefault="000E7192" w:rsidP="000E7192">
      <w:pPr>
        <w:pStyle w:val="NormalWeb"/>
        <w:spacing w:before="0" w:beforeAutospacing="0"/>
        <w:ind w:left="-426" w:right="-330"/>
        <w:jc w:val="both"/>
        <w:rPr>
          <w:rFonts w:asciiTheme="minorHAnsi" w:hAnsiTheme="minorHAnsi" w:cstheme="minorHAnsi"/>
          <w:i/>
          <w:iCs/>
          <w:color w:val="0A0A0A"/>
          <w:sz w:val="22"/>
          <w:szCs w:val="22"/>
        </w:rPr>
      </w:pPr>
      <w:r w:rsidRPr="000E7192">
        <w:rPr>
          <w:rFonts w:asciiTheme="minorHAnsi" w:hAnsiTheme="minorHAnsi" w:cstheme="minorHAnsi"/>
          <w:i/>
          <w:iCs/>
          <w:color w:val="0A0A0A"/>
          <w:sz w:val="22"/>
          <w:szCs w:val="22"/>
        </w:rPr>
        <w:t xml:space="preserve">Do you agree with our proposal to make clear that the release of land should not fundamentally undermine the function of the Green Belt across the area of the plan as a whole? </w:t>
      </w:r>
    </w:p>
    <w:p w:rsidR="000E7192" w:rsidRPr="000E7192" w:rsidRDefault="000E7192" w:rsidP="000E7192">
      <w:pPr>
        <w:pStyle w:val="NormalWeb"/>
        <w:spacing w:before="0" w:beforeAutospacing="0"/>
        <w:ind w:left="-426" w:right="-330"/>
        <w:jc w:val="both"/>
        <w:rPr>
          <w:rFonts w:asciiTheme="minorHAnsi" w:hAnsiTheme="minorHAnsi" w:cstheme="minorHAnsi"/>
          <w:i/>
          <w:iCs/>
          <w:sz w:val="22"/>
          <w:szCs w:val="22"/>
        </w:rPr>
      </w:pP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Allowing Development on the Green Belt through Decision Making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19. To ensure that in the short term we are best supporting the delivery of housing need, in advance of local planning authorities getting updated Local Plans in place and Green Belt reviews underway, we also propose changes that support the release of Green Belt land outside the plan making process. We propose to insert a new paragraph in the NPPF which will make clear that, in instances where a local planning authority cannot demonstrate a 5-year housing land supply or is delivering less than 75% against the Housing Delivery Test, or where there is unmet commercial or other need, development on the Green Belt will not be considered inappropriate when it is on sustainable ‘grey belt’ land, where golden rules for major development are satisfied, and where development would not fundamentally undermine the function of the Green Belt across the area of the plan as a whole.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20. Our proposal limits release via this route to grey belt, including PDL — reaffirming our commitment to a plan-led system by maintaining restrictions on the release of wider Green Belt land. It would, as now, be possible for other Green Belt land to be released outside the plan-making process where ‘very special circumstances’ exist, but such cases would remain exceptional.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30 </w:t>
      </w:r>
    </w:p>
    <w:p w:rsidR="000E7192" w:rsidRPr="000E7192" w:rsidRDefault="000E7192" w:rsidP="000E7192">
      <w:pPr>
        <w:pStyle w:val="NormalWeb"/>
        <w:spacing w:before="0" w:beforeAutospacing="0" w:after="36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agree with our approach to allowing development on Green Belt land through decision making? If not, what changes would you recommend? </w:t>
      </w:r>
    </w:p>
    <w:p w:rsidR="000E7192" w:rsidRPr="000E7192" w:rsidRDefault="000E7192" w:rsidP="000E7192">
      <w:pPr>
        <w:pStyle w:val="NormalWeb"/>
        <w:spacing w:before="0" w:beforeAutospacing="0"/>
        <w:ind w:left="-426" w:right="-330"/>
        <w:jc w:val="both"/>
        <w:rPr>
          <w:rFonts w:asciiTheme="minorHAnsi" w:hAnsiTheme="minorHAnsi" w:cstheme="minorHAnsi"/>
          <w:b/>
          <w:bCs/>
          <w:sz w:val="22"/>
          <w:szCs w:val="22"/>
        </w:rPr>
      </w:pPr>
      <w:r w:rsidRPr="000E7192">
        <w:rPr>
          <w:rFonts w:asciiTheme="minorHAnsi" w:hAnsiTheme="minorHAnsi" w:cstheme="minorHAnsi"/>
          <w:b/>
          <w:bCs/>
          <w:color w:val="0A0A0A"/>
          <w:sz w:val="22"/>
          <w:szCs w:val="22"/>
        </w:rPr>
        <w:t xml:space="preserve">Supporting release of Green Belt land for commercial and other development. </w:t>
      </w:r>
    </w:p>
    <w:p w:rsidR="000E7192" w:rsidRPr="000E7192" w:rsidRDefault="000E7192" w:rsidP="000E7192">
      <w:pPr>
        <w:pStyle w:val="NormalWeb"/>
        <w:spacing w:before="0" w:beforeAutospacing="0"/>
        <w:ind w:left="-426" w:right="-330"/>
        <w:jc w:val="both"/>
        <w:rPr>
          <w:rFonts w:asciiTheme="minorHAnsi" w:hAnsiTheme="minorHAnsi" w:cstheme="minorHAnsi"/>
          <w:sz w:val="22"/>
          <w:szCs w:val="22"/>
        </w:rPr>
      </w:pPr>
      <w:r w:rsidRPr="000E7192">
        <w:rPr>
          <w:rFonts w:asciiTheme="minorHAnsi" w:hAnsiTheme="minorHAnsi" w:cstheme="minorHAnsi"/>
          <w:color w:val="0A0A0A"/>
          <w:sz w:val="22"/>
          <w:szCs w:val="22"/>
        </w:rPr>
        <w:t xml:space="preserve">21. In recognition of the important role commercial and other types of development play in supporting wider social and economic objectives, we propose supporting the release of Green Belt land to meet other development needs (alongside residential development) through both plan-making and decision-making routes. We have provided draft text illustrating how local planning authorities should consider the need for commercial and other development sites, making clear that golden rules should apply, but we welcome views on how to deliver the underlying objective of securing clear public benefits for non-housing development. </w:t>
      </w:r>
    </w:p>
    <w:p w:rsidR="000E7192" w:rsidRPr="000E7192" w:rsidRDefault="000E7192" w:rsidP="000E7192">
      <w:pPr>
        <w:pStyle w:val="NormalWeb"/>
        <w:spacing w:before="0" w:beforeAutospacing="0" w:after="12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Question 31 </w:t>
      </w:r>
    </w:p>
    <w:p w:rsidR="000E7192" w:rsidRPr="000E7192" w:rsidRDefault="000E7192" w:rsidP="000E7192">
      <w:pPr>
        <w:pStyle w:val="NormalWeb"/>
        <w:spacing w:before="0" w:beforeAutospacing="0" w:after="0" w:afterAutospacing="0"/>
        <w:ind w:left="-426" w:right="-330"/>
        <w:jc w:val="both"/>
        <w:rPr>
          <w:rFonts w:asciiTheme="minorHAnsi" w:hAnsiTheme="minorHAnsi" w:cstheme="minorHAnsi"/>
          <w:i/>
          <w:iCs/>
          <w:sz w:val="22"/>
          <w:szCs w:val="22"/>
        </w:rPr>
      </w:pPr>
      <w:r w:rsidRPr="000E7192">
        <w:rPr>
          <w:rFonts w:asciiTheme="minorHAnsi" w:hAnsiTheme="minorHAnsi" w:cstheme="minorHAnsi"/>
          <w:i/>
          <w:iCs/>
          <w:color w:val="0A0A0A"/>
          <w:sz w:val="22"/>
          <w:szCs w:val="22"/>
        </w:rPr>
        <w:t xml:space="preserve">Do you have any comments on our proposals to allow the release of grey belt land to meet commercial and other development needs through plan-making and decision-making, including the triggers for release? </w:t>
      </w:r>
    </w:p>
    <w:p w:rsidR="000E7192" w:rsidRPr="000E7192" w:rsidRDefault="000E7192" w:rsidP="000E7192">
      <w:pPr>
        <w:ind w:left="-426" w:right="-330"/>
        <w:jc w:val="both"/>
        <w:rPr>
          <w:rFonts w:cstheme="minorHAnsi"/>
          <w:sz w:val="22"/>
          <w:szCs w:val="22"/>
        </w:rPr>
      </w:pPr>
    </w:p>
    <w:p w:rsidR="000E7192" w:rsidRPr="000E7192" w:rsidRDefault="000E7192">
      <w:pPr>
        <w:ind w:left="-426" w:right="-330"/>
        <w:jc w:val="both"/>
        <w:rPr>
          <w:rFonts w:cstheme="minorHAnsi"/>
          <w:sz w:val="22"/>
          <w:szCs w:val="22"/>
        </w:rPr>
      </w:pPr>
    </w:p>
    <w:sectPr w:rsidR="000E7192" w:rsidRPr="000E7192" w:rsidSect="000E7192">
      <w:footerReference w:type="even" r:id="rId6"/>
      <w:footerReference w:type="default" r:id="rId7"/>
      <w:pgSz w:w="11906" w:h="16838"/>
      <w:pgMar w:top="852" w:right="1440" w:bottom="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16D16" w:rsidRDefault="00416D16" w:rsidP="000E7192">
      <w:pPr>
        <w:spacing w:after="0" w:line="240" w:lineRule="auto"/>
      </w:pPr>
      <w:r>
        <w:separator/>
      </w:r>
    </w:p>
  </w:endnote>
  <w:endnote w:type="continuationSeparator" w:id="0">
    <w:p w:rsidR="00416D16" w:rsidRDefault="00416D16" w:rsidP="000E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497299"/>
      <w:docPartObj>
        <w:docPartGallery w:val="Page Numbers (Bottom of Page)"/>
        <w:docPartUnique/>
      </w:docPartObj>
    </w:sdtPr>
    <w:sdtContent>
      <w:p w:rsidR="000E7192" w:rsidRDefault="000E7192" w:rsidP="00A11E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E7192" w:rsidRDefault="000E7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0992224"/>
      <w:docPartObj>
        <w:docPartGallery w:val="Page Numbers (Bottom of Page)"/>
        <w:docPartUnique/>
      </w:docPartObj>
    </w:sdtPr>
    <w:sdtContent>
      <w:p w:rsidR="000E7192" w:rsidRDefault="000E7192" w:rsidP="00A11E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E7192" w:rsidRDefault="000E7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16D16" w:rsidRDefault="00416D16" w:rsidP="000E7192">
      <w:pPr>
        <w:spacing w:after="0" w:line="240" w:lineRule="auto"/>
      </w:pPr>
      <w:r>
        <w:separator/>
      </w:r>
    </w:p>
  </w:footnote>
  <w:footnote w:type="continuationSeparator" w:id="0">
    <w:p w:rsidR="00416D16" w:rsidRDefault="00416D16" w:rsidP="000E71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92"/>
    <w:rsid w:val="000E7192"/>
    <w:rsid w:val="00354060"/>
    <w:rsid w:val="00416D16"/>
    <w:rsid w:val="004C3240"/>
    <w:rsid w:val="00544E7A"/>
    <w:rsid w:val="007052F5"/>
    <w:rsid w:val="007478F9"/>
    <w:rsid w:val="00D60719"/>
    <w:rsid w:val="00DB3642"/>
    <w:rsid w:val="00E87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4138B-6732-8E4B-8888-997A9746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240" w:line="276" w:lineRule="auto"/>
        <w:ind w:right="-32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7192"/>
    <w:pPr>
      <w:spacing w:before="100" w:beforeAutospacing="1" w:after="100" w:afterAutospacing="1" w:line="240" w:lineRule="auto"/>
      <w:ind w:right="0"/>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0E7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192"/>
  </w:style>
  <w:style w:type="character" w:styleId="PageNumber">
    <w:name w:val="page number"/>
    <w:basedOn w:val="DefaultParagraphFont"/>
    <w:uiPriority w:val="99"/>
    <w:semiHidden/>
    <w:unhideWhenUsed/>
    <w:rsid w:val="000E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766546">
      <w:bodyDiv w:val="1"/>
      <w:marLeft w:val="0"/>
      <w:marRight w:val="0"/>
      <w:marTop w:val="0"/>
      <w:marBottom w:val="0"/>
      <w:divBdr>
        <w:top w:val="none" w:sz="0" w:space="0" w:color="auto"/>
        <w:left w:val="none" w:sz="0" w:space="0" w:color="auto"/>
        <w:bottom w:val="none" w:sz="0" w:space="0" w:color="auto"/>
        <w:right w:val="none" w:sz="0" w:space="0" w:color="auto"/>
      </w:divBdr>
      <w:divsChild>
        <w:div w:id="1003162865">
          <w:marLeft w:val="0"/>
          <w:marRight w:val="0"/>
          <w:marTop w:val="0"/>
          <w:marBottom w:val="0"/>
          <w:divBdr>
            <w:top w:val="none" w:sz="0" w:space="0" w:color="auto"/>
            <w:left w:val="none" w:sz="0" w:space="0" w:color="auto"/>
            <w:bottom w:val="none" w:sz="0" w:space="0" w:color="auto"/>
            <w:right w:val="none" w:sz="0" w:space="0" w:color="auto"/>
          </w:divBdr>
          <w:divsChild>
            <w:div w:id="392241716">
              <w:marLeft w:val="0"/>
              <w:marRight w:val="0"/>
              <w:marTop w:val="0"/>
              <w:marBottom w:val="0"/>
              <w:divBdr>
                <w:top w:val="none" w:sz="0" w:space="0" w:color="auto"/>
                <w:left w:val="none" w:sz="0" w:space="0" w:color="auto"/>
                <w:bottom w:val="none" w:sz="0" w:space="0" w:color="auto"/>
                <w:right w:val="none" w:sz="0" w:space="0" w:color="auto"/>
              </w:divBdr>
              <w:divsChild>
                <w:div w:id="15166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08729">
      <w:bodyDiv w:val="1"/>
      <w:marLeft w:val="0"/>
      <w:marRight w:val="0"/>
      <w:marTop w:val="0"/>
      <w:marBottom w:val="0"/>
      <w:divBdr>
        <w:top w:val="none" w:sz="0" w:space="0" w:color="auto"/>
        <w:left w:val="none" w:sz="0" w:space="0" w:color="auto"/>
        <w:bottom w:val="none" w:sz="0" w:space="0" w:color="auto"/>
        <w:right w:val="none" w:sz="0" w:space="0" w:color="auto"/>
      </w:divBdr>
      <w:divsChild>
        <w:div w:id="1199196816">
          <w:marLeft w:val="0"/>
          <w:marRight w:val="0"/>
          <w:marTop w:val="0"/>
          <w:marBottom w:val="0"/>
          <w:divBdr>
            <w:top w:val="none" w:sz="0" w:space="0" w:color="auto"/>
            <w:left w:val="none" w:sz="0" w:space="0" w:color="auto"/>
            <w:bottom w:val="none" w:sz="0" w:space="0" w:color="auto"/>
            <w:right w:val="none" w:sz="0" w:space="0" w:color="auto"/>
          </w:divBdr>
          <w:divsChild>
            <w:div w:id="544104476">
              <w:marLeft w:val="0"/>
              <w:marRight w:val="0"/>
              <w:marTop w:val="0"/>
              <w:marBottom w:val="0"/>
              <w:divBdr>
                <w:top w:val="none" w:sz="0" w:space="0" w:color="auto"/>
                <w:left w:val="none" w:sz="0" w:space="0" w:color="auto"/>
                <w:bottom w:val="none" w:sz="0" w:space="0" w:color="auto"/>
                <w:right w:val="none" w:sz="0" w:space="0" w:color="auto"/>
              </w:divBdr>
              <w:divsChild>
                <w:div w:id="752893874">
                  <w:marLeft w:val="0"/>
                  <w:marRight w:val="0"/>
                  <w:marTop w:val="0"/>
                  <w:marBottom w:val="0"/>
                  <w:divBdr>
                    <w:top w:val="none" w:sz="0" w:space="0" w:color="auto"/>
                    <w:left w:val="none" w:sz="0" w:space="0" w:color="auto"/>
                    <w:bottom w:val="none" w:sz="0" w:space="0" w:color="auto"/>
                    <w:right w:val="none" w:sz="0" w:space="0" w:color="auto"/>
                  </w:divBdr>
                  <w:divsChild>
                    <w:div w:id="60850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9792">
      <w:bodyDiv w:val="1"/>
      <w:marLeft w:val="0"/>
      <w:marRight w:val="0"/>
      <w:marTop w:val="0"/>
      <w:marBottom w:val="0"/>
      <w:divBdr>
        <w:top w:val="none" w:sz="0" w:space="0" w:color="auto"/>
        <w:left w:val="none" w:sz="0" w:space="0" w:color="auto"/>
        <w:bottom w:val="none" w:sz="0" w:space="0" w:color="auto"/>
        <w:right w:val="none" w:sz="0" w:space="0" w:color="auto"/>
      </w:divBdr>
      <w:divsChild>
        <w:div w:id="469905151">
          <w:marLeft w:val="0"/>
          <w:marRight w:val="0"/>
          <w:marTop w:val="0"/>
          <w:marBottom w:val="0"/>
          <w:divBdr>
            <w:top w:val="none" w:sz="0" w:space="0" w:color="auto"/>
            <w:left w:val="none" w:sz="0" w:space="0" w:color="auto"/>
            <w:bottom w:val="none" w:sz="0" w:space="0" w:color="auto"/>
            <w:right w:val="none" w:sz="0" w:space="0" w:color="auto"/>
          </w:divBdr>
          <w:divsChild>
            <w:div w:id="1553078478">
              <w:marLeft w:val="0"/>
              <w:marRight w:val="0"/>
              <w:marTop w:val="0"/>
              <w:marBottom w:val="0"/>
              <w:divBdr>
                <w:top w:val="none" w:sz="0" w:space="0" w:color="auto"/>
                <w:left w:val="none" w:sz="0" w:space="0" w:color="auto"/>
                <w:bottom w:val="none" w:sz="0" w:space="0" w:color="auto"/>
                <w:right w:val="none" w:sz="0" w:space="0" w:color="auto"/>
              </w:divBdr>
              <w:divsChild>
                <w:div w:id="596134242">
                  <w:marLeft w:val="0"/>
                  <w:marRight w:val="0"/>
                  <w:marTop w:val="0"/>
                  <w:marBottom w:val="0"/>
                  <w:divBdr>
                    <w:top w:val="none" w:sz="0" w:space="0" w:color="auto"/>
                    <w:left w:val="none" w:sz="0" w:space="0" w:color="auto"/>
                    <w:bottom w:val="none" w:sz="0" w:space="0" w:color="auto"/>
                    <w:right w:val="none" w:sz="0" w:space="0" w:color="auto"/>
                  </w:divBdr>
                  <w:divsChild>
                    <w:div w:id="110279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76369">
      <w:bodyDiv w:val="1"/>
      <w:marLeft w:val="0"/>
      <w:marRight w:val="0"/>
      <w:marTop w:val="0"/>
      <w:marBottom w:val="0"/>
      <w:divBdr>
        <w:top w:val="none" w:sz="0" w:space="0" w:color="auto"/>
        <w:left w:val="none" w:sz="0" w:space="0" w:color="auto"/>
        <w:bottom w:val="none" w:sz="0" w:space="0" w:color="auto"/>
        <w:right w:val="none" w:sz="0" w:space="0" w:color="auto"/>
      </w:divBdr>
      <w:divsChild>
        <w:div w:id="877276044">
          <w:marLeft w:val="0"/>
          <w:marRight w:val="0"/>
          <w:marTop w:val="0"/>
          <w:marBottom w:val="0"/>
          <w:divBdr>
            <w:top w:val="none" w:sz="0" w:space="0" w:color="auto"/>
            <w:left w:val="none" w:sz="0" w:space="0" w:color="auto"/>
            <w:bottom w:val="none" w:sz="0" w:space="0" w:color="auto"/>
            <w:right w:val="none" w:sz="0" w:space="0" w:color="auto"/>
          </w:divBdr>
          <w:divsChild>
            <w:div w:id="1067608473">
              <w:marLeft w:val="0"/>
              <w:marRight w:val="0"/>
              <w:marTop w:val="0"/>
              <w:marBottom w:val="0"/>
              <w:divBdr>
                <w:top w:val="none" w:sz="0" w:space="0" w:color="auto"/>
                <w:left w:val="none" w:sz="0" w:space="0" w:color="auto"/>
                <w:bottom w:val="none" w:sz="0" w:space="0" w:color="auto"/>
                <w:right w:val="none" w:sz="0" w:space="0" w:color="auto"/>
              </w:divBdr>
              <w:divsChild>
                <w:div w:id="1180586408">
                  <w:marLeft w:val="0"/>
                  <w:marRight w:val="0"/>
                  <w:marTop w:val="0"/>
                  <w:marBottom w:val="0"/>
                  <w:divBdr>
                    <w:top w:val="none" w:sz="0" w:space="0" w:color="auto"/>
                    <w:left w:val="none" w:sz="0" w:space="0" w:color="auto"/>
                    <w:bottom w:val="none" w:sz="0" w:space="0" w:color="auto"/>
                    <w:right w:val="none" w:sz="0" w:space="0" w:color="auto"/>
                  </w:divBdr>
                  <w:divsChild>
                    <w:div w:id="19658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057380">
      <w:bodyDiv w:val="1"/>
      <w:marLeft w:val="0"/>
      <w:marRight w:val="0"/>
      <w:marTop w:val="0"/>
      <w:marBottom w:val="0"/>
      <w:divBdr>
        <w:top w:val="none" w:sz="0" w:space="0" w:color="auto"/>
        <w:left w:val="none" w:sz="0" w:space="0" w:color="auto"/>
        <w:bottom w:val="none" w:sz="0" w:space="0" w:color="auto"/>
        <w:right w:val="none" w:sz="0" w:space="0" w:color="auto"/>
      </w:divBdr>
      <w:divsChild>
        <w:div w:id="495338298">
          <w:marLeft w:val="0"/>
          <w:marRight w:val="0"/>
          <w:marTop w:val="0"/>
          <w:marBottom w:val="0"/>
          <w:divBdr>
            <w:top w:val="none" w:sz="0" w:space="0" w:color="auto"/>
            <w:left w:val="none" w:sz="0" w:space="0" w:color="auto"/>
            <w:bottom w:val="none" w:sz="0" w:space="0" w:color="auto"/>
            <w:right w:val="none" w:sz="0" w:space="0" w:color="auto"/>
          </w:divBdr>
          <w:divsChild>
            <w:div w:id="17630336">
              <w:marLeft w:val="0"/>
              <w:marRight w:val="0"/>
              <w:marTop w:val="0"/>
              <w:marBottom w:val="0"/>
              <w:divBdr>
                <w:top w:val="none" w:sz="0" w:space="0" w:color="auto"/>
                <w:left w:val="none" w:sz="0" w:space="0" w:color="auto"/>
                <w:bottom w:val="none" w:sz="0" w:space="0" w:color="auto"/>
                <w:right w:val="none" w:sz="0" w:space="0" w:color="auto"/>
              </w:divBdr>
              <w:divsChild>
                <w:div w:id="30042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18169">
      <w:bodyDiv w:val="1"/>
      <w:marLeft w:val="0"/>
      <w:marRight w:val="0"/>
      <w:marTop w:val="0"/>
      <w:marBottom w:val="0"/>
      <w:divBdr>
        <w:top w:val="none" w:sz="0" w:space="0" w:color="auto"/>
        <w:left w:val="none" w:sz="0" w:space="0" w:color="auto"/>
        <w:bottom w:val="none" w:sz="0" w:space="0" w:color="auto"/>
        <w:right w:val="none" w:sz="0" w:space="0" w:color="auto"/>
      </w:divBdr>
      <w:divsChild>
        <w:div w:id="429274731">
          <w:marLeft w:val="0"/>
          <w:marRight w:val="0"/>
          <w:marTop w:val="0"/>
          <w:marBottom w:val="0"/>
          <w:divBdr>
            <w:top w:val="none" w:sz="0" w:space="0" w:color="auto"/>
            <w:left w:val="none" w:sz="0" w:space="0" w:color="auto"/>
            <w:bottom w:val="none" w:sz="0" w:space="0" w:color="auto"/>
            <w:right w:val="none" w:sz="0" w:space="0" w:color="auto"/>
          </w:divBdr>
          <w:divsChild>
            <w:div w:id="580336121">
              <w:marLeft w:val="0"/>
              <w:marRight w:val="0"/>
              <w:marTop w:val="0"/>
              <w:marBottom w:val="0"/>
              <w:divBdr>
                <w:top w:val="none" w:sz="0" w:space="0" w:color="auto"/>
                <w:left w:val="none" w:sz="0" w:space="0" w:color="auto"/>
                <w:bottom w:val="none" w:sz="0" w:space="0" w:color="auto"/>
                <w:right w:val="none" w:sz="0" w:space="0" w:color="auto"/>
              </w:divBdr>
              <w:divsChild>
                <w:div w:id="12603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32661">
      <w:bodyDiv w:val="1"/>
      <w:marLeft w:val="0"/>
      <w:marRight w:val="0"/>
      <w:marTop w:val="0"/>
      <w:marBottom w:val="0"/>
      <w:divBdr>
        <w:top w:val="none" w:sz="0" w:space="0" w:color="auto"/>
        <w:left w:val="none" w:sz="0" w:space="0" w:color="auto"/>
        <w:bottom w:val="none" w:sz="0" w:space="0" w:color="auto"/>
        <w:right w:val="none" w:sz="0" w:space="0" w:color="auto"/>
      </w:divBdr>
      <w:divsChild>
        <w:div w:id="1412391524">
          <w:marLeft w:val="0"/>
          <w:marRight w:val="0"/>
          <w:marTop w:val="0"/>
          <w:marBottom w:val="0"/>
          <w:divBdr>
            <w:top w:val="none" w:sz="0" w:space="0" w:color="auto"/>
            <w:left w:val="none" w:sz="0" w:space="0" w:color="auto"/>
            <w:bottom w:val="none" w:sz="0" w:space="0" w:color="auto"/>
            <w:right w:val="none" w:sz="0" w:space="0" w:color="auto"/>
          </w:divBdr>
          <w:divsChild>
            <w:div w:id="1341736810">
              <w:marLeft w:val="0"/>
              <w:marRight w:val="0"/>
              <w:marTop w:val="0"/>
              <w:marBottom w:val="0"/>
              <w:divBdr>
                <w:top w:val="none" w:sz="0" w:space="0" w:color="auto"/>
                <w:left w:val="none" w:sz="0" w:space="0" w:color="auto"/>
                <w:bottom w:val="none" w:sz="0" w:space="0" w:color="auto"/>
                <w:right w:val="none" w:sz="0" w:space="0" w:color="auto"/>
              </w:divBdr>
              <w:divsChild>
                <w:div w:id="16064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8126">
      <w:bodyDiv w:val="1"/>
      <w:marLeft w:val="0"/>
      <w:marRight w:val="0"/>
      <w:marTop w:val="0"/>
      <w:marBottom w:val="0"/>
      <w:divBdr>
        <w:top w:val="none" w:sz="0" w:space="0" w:color="auto"/>
        <w:left w:val="none" w:sz="0" w:space="0" w:color="auto"/>
        <w:bottom w:val="none" w:sz="0" w:space="0" w:color="auto"/>
        <w:right w:val="none" w:sz="0" w:space="0" w:color="auto"/>
      </w:divBdr>
      <w:divsChild>
        <w:div w:id="1972125893">
          <w:marLeft w:val="0"/>
          <w:marRight w:val="0"/>
          <w:marTop w:val="0"/>
          <w:marBottom w:val="0"/>
          <w:divBdr>
            <w:top w:val="none" w:sz="0" w:space="0" w:color="auto"/>
            <w:left w:val="none" w:sz="0" w:space="0" w:color="auto"/>
            <w:bottom w:val="none" w:sz="0" w:space="0" w:color="auto"/>
            <w:right w:val="none" w:sz="0" w:space="0" w:color="auto"/>
          </w:divBdr>
          <w:divsChild>
            <w:div w:id="299775103">
              <w:marLeft w:val="0"/>
              <w:marRight w:val="0"/>
              <w:marTop w:val="0"/>
              <w:marBottom w:val="0"/>
              <w:divBdr>
                <w:top w:val="none" w:sz="0" w:space="0" w:color="auto"/>
                <w:left w:val="none" w:sz="0" w:space="0" w:color="auto"/>
                <w:bottom w:val="none" w:sz="0" w:space="0" w:color="auto"/>
                <w:right w:val="none" w:sz="0" w:space="0" w:color="auto"/>
              </w:divBdr>
              <w:divsChild>
                <w:div w:id="1578906501">
                  <w:marLeft w:val="0"/>
                  <w:marRight w:val="0"/>
                  <w:marTop w:val="0"/>
                  <w:marBottom w:val="0"/>
                  <w:divBdr>
                    <w:top w:val="none" w:sz="0" w:space="0" w:color="auto"/>
                    <w:left w:val="none" w:sz="0" w:space="0" w:color="auto"/>
                    <w:bottom w:val="none" w:sz="0" w:space="0" w:color="auto"/>
                    <w:right w:val="none" w:sz="0" w:space="0" w:color="auto"/>
                  </w:divBdr>
                  <w:divsChild>
                    <w:div w:id="19862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50268">
      <w:bodyDiv w:val="1"/>
      <w:marLeft w:val="0"/>
      <w:marRight w:val="0"/>
      <w:marTop w:val="0"/>
      <w:marBottom w:val="0"/>
      <w:divBdr>
        <w:top w:val="none" w:sz="0" w:space="0" w:color="auto"/>
        <w:left w:val="none" w:sz="0" w:space="0" w:color="auto"/>
        <w:bottom w:val="none" w:sz="0" w:space="0" w:color="auto"/>
        <w:right w:val="none" w:sz="0" w:space="0" w:color="auto"/>
      </w:divBdr>
      <w:divsChild>
        <w:div w:id="125663599">
          <w:marLeft w:val="0"/>
          <w:marRight w:val="0"/>
          <w:marTop w:val="0"/>
          <w:marBottom w:val="0"/>
          <w:divBdr>
            <w:top w:val="none" w:sz="0" w:space="0" w:color="auto"/>
            <w:left w:val="none" w:sz="0" w:space="0" w:color="auto"/>
            <w:bottom w:val="none" w:sz="0" w:space="0" w:color="auto"/>
            <w:right w:val="none" w:sz="0" w:space="0" w:color="auto"/>
          </w:divBdr>
          <w:divsChild>
            <w:div w:id="408581458">
              <w:marLeft w:val="0"/>
              <w:marRight w:val="0"/>
              <w:marTop w:val="0"/>
              <w:marBottom w:val="0"/>
              <w:divBdr>
                <w:top w:val="none" w:sz="0" w:space="0" w:color="auto"/>
                <w:left w:val="none" w:sz="0" w:space="0" w:color="auto"/>
                <w:bottom w:val="none" w:sz="0" w:space="0" w:color="auto"/>
                <w:right w:val="none" w:sz="0" w:space="0" w:color="auto"/>
              </w:divBdr>
              <w:divsChild>
                <w:div w:id="63454326">
                  <w:marLeft w:val="0"/>
                  <w:marRight w:val="0"/>
                  <w:marTop w:val="0"/>
                  <w:marBottom w:val="0"/>
                  <w:divBdr>
                    <w:top w:val="none" w:sz="0" w:space="0" w:color="auto"/>
                    <w:left w:val="none" w:sz="0" w:space="0" w:color="auto"/>
                    <w:bottom w:val="none" w:sz="0" w:space="0" w:color="auto"/>
                    <w:right w:val="none" w:sz="0" w:space="0" w:color="auto"/>
                  </w:divBdr>
                  <w:divsChild>
                    <w:div w:id="11267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660189">
      <w:bodyDiv w:val="1"/>
      <w:marLeft w:val="0"/>
      <w:marRight w:val="0"/>
      <w:marTop w:val="0"/>
      <w:marBottom w:val="0"/>
      <w:divBdr>
        <w:top w:val="none" w:sz="0" w:space="0" w:color="auto"/>
        <w:left w:val="none" w:sz="0" w:space="0" w:color="auto"/>
        <w:bottom w:val="none" w:sz="0" w:space="0" w:color="auto"/>
        <w:right w:val="none" w:sz="0" w:space="0" w:color="auto"/>
      </w:divBdr>
      <w:divsChild>
        <w:div w:id="911356066">
          <w:marLeft w:val="0"/>
          <w:marRight w:val="0"/>
          <w:marTop w:val="0"/>
          <w:marBottom w:val="0"/>
          <w:divBdr>
            <w:top w:val="none" w:sz="0" w:space="0" w:color="auto"/>
            <w:left w:val="none" w:sz="0" w:space="0" w:color="auto"/>
            <w:bottom w:val="none" w:sz="0" w:space="0" w:color="auto"/>
            <w:right w:val="none" w:sz="0" w:space="0" w:color="auto"/>
          </w:divBdr>
          <w:divsChild>
            <w:div w:id="1677075019">
              <w:marLeft w:val="0"/>
              <w:marRight w:val="0"/>
              <w:marTop w:val="0"/>
              <w:marBottom w:val="0"/>
              <w:divBdr>
                <w:top w:val="none" w:sz="0" w:space="0" w:color="auto"/>
                <w:left w:val="none" w:sz="0" w:space="0" w:color="auto"/>
                <w:bottom w:val="none" w:sz="0" w:space="0" w:color="auto"/>
                <w:right w:val="none" w:sz="0" w:space="0" w:color="auto"/>
              </w:divBdr>
              <w:divsChild>
                <w:div w:id="1997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37677">
      <w:bodyDiv w:val="1"/>
      <w:marLeft w:val="0"/>
      <w:marRight w:val="0"/>
      <w:marTop w:val="0"/>
      <w:marBottom w:val="0"/>
      <w:divBdr>
        <w:top w:val="none" w:sz="0" w:space="0" w:color="auto"/>
        <w:left w:val="none" w:sz="0" w:space="0" w:color="auto"/>
        <w:bottom w:val="none" w:sz="0" w:space="0" w:color="auto"/>
        <w:right w:val="none" w:sz="0" w:space="0" w:color="auto"/>
      </w:divBdr>
      <w:divsChild>
        <w:div w:id="300580788">
          <w:marLeft w:val="0"/>
          <w:marRight w:val="0"/>
          <w:marTop w:val="0"/>
          <w:marBottom w:val="0"/>
          <w:divBdr>
            <w:top w:val="none" w:sz="0" w:space="0" w:color="auto"/>
            <w:left w:val="none" w:sz="0" w:space="0" w:color="auto"/>
            <w:bottom w:val="none" w:sz="0" w:space="0" w:color="auto"/>
            <w:right w:val="none" w:sz="0" w:space="0" w:color="auto"/>
          </w:divBdr>
          <w:divsChild>
            <w:div w:id="1007177100">
              <w:marLeft w:val="0"/>
              <w:marRight w:val="0"/>
              <w:marTop w:val="0"/>
              <w:marBottom w:val="0"/>
              <w:divBdr>
                <w:top w:val="none" w:sz="0" w:space="0" w:color="auto"/>
                <w:left w:val="none" w:sz="0" w:space="0" w:color="auto"/>
                <w:bottom w:val="none" w:sz="0" w:space="0" w:color="auto"/>
                <w:right w:val="none" w:sz="0" w:space="0" w:color="auto"/>
              </w:divBdr>
              <w:divsChild>
                <w:div w:id="1434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24108">
      <w:bodyDiv w:val="1"/>
      <w:marLeft w:val="0"/>
      <w:marRight w:val="0"/>
      <w:marTop w:val="0"/>
      <w:marBottom w:val="0"/>
      <w:divBdr>
        <w:top w:val="none" w:sz="0" w:space="0" w:color="auto"/>
        <w:left w:val="none" w:sz="0" w:space="0" w:color="auto"/>
        <w:bottom w:val="none" w:sz="0" w:space="0" w:color="auto"/>
        <w:right w:val="none" w:sz="0" w:space="0" w:color="auto"/>
      </w:divBdr>
      <w:divsChild>
        <w:div w:id="736782963">
          <w:marLeft w:val="0"/>
          <w:marRight w:val="0"/>
          <w:marTop w:val="0"/>
          <w:marBottom w:val="0"/>
          <w:divBdr>
            <w:top w:val="none" w:sz="0" w:space="0" w:color="auto"/>
            <w:left w:val="none" w:sz="0" w:space="0" w:color="auto"/>
            <w:bottom w:val="none" w:sz="0" w:space="0" w:color="auto"/>
            <w:right w:val="none" w:sz="0" w:space="0" w:color="auto"/>
          </w:divBdr>
          <w:divsChild>
            <w:div w:id="1779447109">
              <w:marLeft w:val="0"/>
              <w:marRight w:val="0"/>
              <w:marTop w:val="0"/>
              <w:marBottom w:val="0"/>
              <w:divBdr>
                <w:top w:val="none" w:sz="0" w:space="0" w:color="auto"/>
                <w:left w:val="none" w:sz="0" w:space="0" w:color="auto"/>
                <w:bottom w:val="none" w:sz="0" w:space="0" w:color="auto"/>
                <w:right w:val="none" w:sz="0" w:space="0" w:color="auto"/>
              </w:divBdr>
              <w:divsChild>
                <w:div w:id="19054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68829">
      <w:bodyDiv w:val="1"/>
      <w:marLeft w:val="0"/>
      <w:marRight w:val="0"/>
      <w:marTop w:val="0"/>
      <w:marBottom w:val="0"/>
      <w:divBdr>
        <w:top w:val="none" w:sz="0" w:space="0" w:color="auto"/>
        <w:left w:val="none" w:sz="0" w:space="0" w:color="auto"/>
        <w:bottom w:val="none" w:sz="0" w:space="0" w:color="auto"/>
        <w:right w:val="none" w:sz="0" w:space="0" w:color="auto"/>
      </w:divBdr>
      <w:divsChild>
        <w:div w:id="1972519333">
          <w:marLeft w:val="0"/>
          <w:marRight w:val="0"/>
          <w:marTop w:val="0"/>
          <w:marBottom w:val="0"/>
          <w:divBdr>
            <w:top w:val="none" w:sz="0" w:space="0" w:color="auto"/>
            <w:left w:val="none" w:sz="0" w:space="0" w:color="auto"/>
            <w:bottom w:val="none" w:sz="0" w:space="0" w:color="auto"/>
            <w:right w:val="none" w:sz="0" w:space="0" w:color="auto"/>
          </w:divBdr>
          <w:divsChild>
            <w:div w:id="1201893090">
              <w:marLeft w:val="0"/>
              <w:marRight w:val="0"/>
              <w:marTop w:val="0"/>
              <w:marBottom w:val="0"/>
              <w:divBdr>
                <w:top w:val="none" w:sz="0" w:space="0" w:color="auto"/>
                <w:left w:val="none" w:sz="0" w:space="0" w:color="auto"/>
                <w:bottom w:val="none" w:sz="0" w:space="0" w:color="auto"/>
                <w:right w:val="none" w:sz="0" w:space="0" w:color="auto"/>
              </w:divBdr>
              <w:divsChild>
                <w:div w:id="1809546447">
                  <w:marLeft w:val="0"/>
                  <w:marRight w:val="0"/>
                  <w:marTop w:val="0"/>
                  <w:marBottom w:val="0"/>
                  <w:divBdr>
                    <w:top w:val="none" w:sz="0" w:space="0" w:color="auto"/>
                    <w:left w:val="none" w:sz="0" w:space="0" w:color="auto"/>
                    <w:bottom w:val="none" w:sz="0" w:space="0" w:color="auto"/>
                    <w:right w:val="none" w:sz="0" w:space="0" w:color="auto"/>
                  </w:divBdr>
                  <w:divsChild>
                    <w:div w:id="84562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41455">
      <w:bodyDiv w:val="1"/>
      <w:marLeft w:val="0"/>
      <w:marRight w:val="0"/>
      <w:marTop w:val="0"/>
      <w:marBottom w:val="0"/>
      <w:divBdr>
        <w:top w:val="none" w:sz="0" w:space="0" w:color="auto"/>
        <w:left w:val="none" w:sz="0" w:space="0" w:color="auto"/>
        <w:bottom w:val="none" w:sz="0" w:space="0" w:color="auto"/>
        <w:right w:val="none" w:sz="0" w:space="0" w:color="auto"/>
      </w:divBdr>
      <w:divsChild>
        <w:div w:id="891968688">
          <w:marLeft w:val="0"/>
          <w:marRight w:val="0"/>
          <w:marTop w:val="0"/>
          <w:marBottom w:val="0"/>
          <w:divBdr>
            <w:top w:val="none" w:sz="0" w:space="0" w:color="auto"/>
            <w:left w:val="none" w:sz="0" w:space="0" w:color="auto"/>
            <w:bottom w:val="none" w:sz="0" w:space="0" w:color="auto"/>
            <w:right w:val="none" w:sz="0" w:space="0" w:color="auto"/>
          </w:divBdr>
          <w:divsChild>
            <w:div w:id="1051424694">
              <w:marLeft w:val="0"/>
              <w:marRight w:val="0"/>
              <w:marTop w:val="0"/>
              <w:marBottom w:val="0"/>
              <w:divBdr>
                <w:top w:val="none" w:sz="0" w:space="0" w:color="auto"/>
                <w:left w:val="none" w:sz="0" w:space="0" w:color="auto"/>
                <w:bottom w:val="none" w:sz="0" w:space="0" w:color="auto"/>
                <w:right w:val="none" w:sz="0" w:space="0" w:color="auto"/>
              </w:divBdr>
              <w:divsChild>
                <w:div w:id="101549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329163">
      <w:bodyDiv w:val="1"/>
      <w:marLeft w:val="0"/>
      <w:marRight w:val="0"/>
      <w:marTop w:val="0"/>
      <w:marBottom w:val="0"/>
      <w:divBdr>
        <w:top w:val="none" w:sz="0" w:space="0" w:color="auto"/>
        <w:left w:val="none" w:sz="0" w:space="0" w:color="auto"/>
        <w:bottom w:val="none" w:sz="0" w:space="0" w:color="auto"/>
        <w:right w:val="none" w:sz="0" w:space="0" w:color="auto"/>
      </w:divBdr>
      <w:divsChild>
        <w:div w:id="548148402">
          <w:marLeft w:val="0"/>
          <w:marRight w:val="0"/>
          <w:marTop w:val="0"/>
          <w:marBottom w:val="0"/>
          <w:divBdr>
            <w:top w:val="none" w:sz="0" w:space="0" w:color="auto"/>
            <w:left w:val="none" w:sz="0" w:space="0" w:color="auto"/>
            <w:bottom w:val="none" w:sz="0" w:space="0" w:color="auto"/>
            <w:right w:val="none" w:sz="0" w:space="0" w:color="auto"/>
          </w:divBdr>
          <w:divsChild>
            <w:div w:id="333847108">
              <w:marLeft w:val="0"/>
              <w:marRight w:val="0"/>
              <w:marTop w:val="0"/>
              <w:marBottom w:val="0"/>
              <w:divBdr>
                <w:top w:val="none" w:sz="0" w:space="0" w:color="auto"/>
                <w:left w:val="none" w:sz="0" w:space="0" w:color="auto"/>
                <w:bottom w:val="none" w:sz="0" w:space="0" w:color="auto"/>
                <w:right w:val="none" w:sz="0" w:space="0" w:color="auto"/>
              </w:divBdr>
              <w:divsChild>
                <w:div w:id="176896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2843</Words>
  <Characters>16207</Characters>
  <Application>Microsoft Office Word</Application>
  <DocSecurity>0</DocSecurity>
  <Lines>135</Lines>
  <Paragraphs>38</Paragraphs>
  <ScaleCrop>false</ScaleCrop>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Collon</dc:creator>
  <cp:keywords/>
  <dc:description/>
  <cp:lastModifiedBy>Dawn Lacey</cp:lastModifiedBy>
  <cp:revision>2</cp:revision>
  <dcterms:created xsi:type="dcterms:W3CDTF">2024-08-10T13:41:00Z</dcterms:created>
  <dcterms:modified xsi:type="dcterms:W3CDTF">2024-08-10T13:41:00Z</dcterms:modified>
</cp:coreProperties>
</file>